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71C" w:rsidRDefault="00E6471C" w:rsidP="00E6471C">
      <w:pPr>
        <w:pStyle w:val="0"/>
        <w:rPr>
          <w:rFonts w:ascii="仿宋" w:eastAsia="仿宋" w:hAnsi="仿宋"/>
          <w:lang w:eastAsia="zh-CN"/>
        </w:rPr>
      </w:pPr>
      <w:bookmarkStart w:id="0" w:name="_Toc1721635"/>
      <w:bookmarkStart w:id="1" w:name="_Toc256000001"/>
      <w:bookmarkStart w:id="2" w:name="_Toc504741946"/>
      <w:r>
        <w:rPr>
          <w:rFonts w:ascii="仿宋" w:eastAsia="仿宋" w:hAnsi="仿宋" w:hint="eastAsia"/>
          <w:lang w:eastAsia="zh-CN"/>
        </w:rPr>
        <w:t>采购公告</w:t>
      </w:r>
      <w:bookmarkEnd w:id="0"/>
      <w:bookmarkEnd w:id="1"/>
      <w:bookmarkEnd w:id="2"/>
    </w:p>
    <w:p w:rsidR="00E6471C" w:rsidRDefault="00E6471C" w:rsidP="00E6471C">
      <w:pPr>
        <w:pStyle w:val="10"/>
        <w:rPr>
          <w:rFonts w:ascii="仿宋" w:eastAsia="仿宋" w:hAnsi="仿宋"/>
          <w:spacing w:val="14"/>
          <w:sz w:val="24"/>
          <w:szCs w:val="24"/>
        </w:rPr>
      </w:pP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河南城发工程管理有限公司受洛阳市交通事业发展中心的委托，就G36宁洛高速洛阳境汝阳至伊川段改建工程造价咨询服务进行竞争性磋商采购，欢迎供应商积极参加。</w:t>
      </w:r>
    </w:p>
    <w:p w:rsidR="00E6471C" w:rsidRDefault="00E6471C" w:rsidP="00E6471C">
      <w:pPr>
        <w:pStyle w:val="10"/>
        <w:numPr>
          <w:ilvl w:val="0"/>
          <w:numId w:val="1"/>
        </w:numPr>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采购项目名称：G36宁洛高速洛阳境汝阳至伊川段改建工程造价咨询服务。</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二、项目编号：CF2023-042</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三、资金来源及预算控制金额：</w:t>
      </w:r>
      <w:r>
        <w:rPr>
          <w:rFonts w:ascii="仿宋" w:eastAsia="仿宋" w:hAnsi="仿宋" w:cs="仿宋" w:hint="eastAsia"/>
          <w:spacing w:val="14"/>
          <w:sz w:val="24"/>
          <w:szCs w:val="24"/>
        </w:rPr>
        <w:t>国省补助+地方自筹，</w:t>
      </w:r>
      <w:r>
        <w:rPr>
          <w:rFonts w:ascii="仿宋" w:eastAsia="仿宋" w:hAnsi="仿宋" w:hint="eastAsia"/>
          <w:spacing w:val="14"/>
          <w:sz w:val="24"/>
          <w:szCs w:val="24"/>
        </w:rPr>
        <w:t>不得超过《洛阳市市直行政事业单位工程项目工程量清单和预算控制价编制业务定点采购管理办法》（洛财购[2017]1号）收费标准。</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四、采购项目简要说明：</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1、项目概况：</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G36宁洛高速洛阳段起点位于宁洛高速洛阳市汝阳县与汝州市交界处(桩号K692+772.597), 终点位于宁洛高速与盐洛高速交叉处以北(桩号K719+445) 顺接二广改扩建终点，途径汝阳县、伊川县，路线全长约26.673公里；此次改建设计速度维持原100公里/小时，路基宽度由现状26米双侧加宽至41.5米，含互通式立交5处，主线大中桥9座，分离式立交3座，涉铁路桥梁1座，天桥17座，总投资23.7亿元。</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2、采购范围及包划分：本次采购一个包；</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根据洛财办2019 63号文《洛阳市财政局关于印发洛阳市政府投资项目评审管理办法的通知》，拟选定一家造价咨询单位对该项目提供造价咨询服务，包括并不限于：工程项目工可、用地预审、组卷、勘察设计及采购人委托的其他相关技术服务的招标控制价编制。</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3、服务周期：自合同签订至本项目审计结束。</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4、质量要求：符合国家及地方现行规范与标准的要求。</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lastRenderedPageBreak/>
        <w:t>五、资格条件</w:t>
      </w:r>
    </w:p>
    <w:p w:rsidR="00E6471C" w:rsidRDefault="00E6471C" w:rsidP="00E6471C">
      <w:pPr>
        <w:pStyle w:val="10"/>
        <w:spacing w:line="360" w:lineRule="auto"/>
        <w:ind w:firstLineChars="200" w:firstLine="508"/>
        <w:rPr>
          <w:rFonts w:ascii="仿宋" w:eastAsia="仿宋" w:hAnsi="仿宋"/>
          <w:spacing w:val="14"/>
          <w:sz w:val="24"/>
          <w:szCs w:val="24"/>
        </w:rPr>
      </w:pPr>
      <w:bookmarkStart w:id="3" w:name="bookmark69"/>
      <w:r>
        <w:rPr>
          <w:rFonts w:ascii="仿宋" w:eastAsia="仿宋" w:hAnsi="仿宋" w:hint="eastAsia"/>
          <w:spacing w:val="14"/>
          <w:sz w:val="24"/>
          <w:szCs w:val="24"/>
        </w:rPr>
        <w:t>1</w:t>
      </w:r>
      <w:bookmarkEnd w:id="3"/>
      <w:r>
        <w:rPr>
          <w:rFonts w:ascii="仿宋" w:eastAsia="仿宋" w:hAnsi="仿宋" w:hint="eastAsia"/>
          <w:spacing w:val="14"/>
          <w:sz w:val="24"/>
          <w:szCs w:val="24"/>
        </w:rPr>
        <w:t>、满足《中华人民共和国政府采购法》第二十二条规定；</w:t>
      </w:r>
    </w:p>
    <w:p w:rsidR="00E6471C" w:rsidRDefault="00E6471C" w:rsidP="00E6471C">
      <w:pPr>
        <w:pStyle w:val="10"/>
        <w:spacing w:line="360" w:lineRule="auto"/>
        <w:ind w:firstLineChars="200" w:firstLine="508"/>
        <w:rPr>
          <w:rFonts w:ascii="仿宋" w:eastAsia="仿宋" w:hAnsi="仿宋"/>
          <w:spacing w:val="14"/>
          <w:sz w:val="24"/>
          <w:szCs w:val="24"/>
        </w:rPr>
      </w:pPr>
      <w:bookmarkStart w:id="4" w:name="bookmark70"/>
      <w:r>
        <w:rPr>
          <w:rFonts w:ascii="仿宋" w:eastAsia="仿宋" w:hAnsi="仿宋" w:hint="eastAsia"/>
          <w:spacing w:val="14"/>
          <w:sz w:val="24"/>
          <w:szCs w:val="24"/>
        </w:rPr>
        <w:t>2</w:t>
      </w:r>
      <w:bookmarkEnd w:id="4"/>
      <w:r>
        <w:rPr>
          <w:rFonts w:ascii="仿宋" w:eastAsia="仿宋" w:hAnsi="仿宋" w:hint="eastAsia"/>
          <w:spacing w:val="14"/>
          <w:sz w:val="24"/>
          <w:szCs w:val="24"/>
        </w:rPr>
        <w:t>、落实政府采购政策满足的资格要求：</w:t>
      </w:r>
    </w:p>
    <w:p w:rsidR="00E6471C" w:rsidRDefault="00E6471C" w:rsidP="00E6471C">
      <w:pPr>
        <w:pStyle w:val="10"/>
        <w:spacing w:line="360" w:lineRule="auto"/>
        <w:ind w:firstLineChars="200" w:firstLine="508"/>
        <w:rPr>
          <w:rFonts w:ascii="仿宋" w:eastAsia="仿宋" w:hAnsi="仿宋"/>
          <w:spacing w:val="14"/>
          <w:sz w:val="24"/>
          <w:szCs w:val="24"/>
        </w:rPr>
      </w:pPr>
      <w:bookmarkStart w:id="5" w:name="bookmark71"/>
      <w:r>
        <w:rPr>
          <w:rFonts w:ascii="仿宋" w:eastAsia="仿宋" w:hAnsi="仿宋" w:hint="eastAsia"/>
          <w:spacing w:val="14"/>
          <w:sz w:val="24"/>
          <w:szCs w:val="24"/>
        </w:rPr>
        <w:t>本项目面向中小企业(含监狱企业、残疾人福利性单位)采购；执行节约能源、保护环境、扶持不发达地区和少数民族地区、促进中小企业发展、促进残疾人就业、促进监狱企业发展等政府采购政策</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 xml:space="preserve">本项目对应的中小企业划分标准所属行业为“其他未列明行业”。 </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3</w:t>
      </w:r>
      <w:bookmarkEnd w:id="5"/>
      <w:r>
        <w:rPr>
          <w:rFonts w:ascii="仿宋" w:eastAsia="仿宋" w:hAnsi="仿宋" w:hint="eastAsia"/>
          <w:spacing w:val="14"/>
          <w:sz w:val="24"/>
          <w:szCs w:val="24"/>
        </w:rPr>
        <w:t>、本项目的特定资格要求</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3.1供应商具有合法有效的营业执照或事业单位法人证书。（响应文件中须附以上证件的原件扫描件，并加盖单位公章。）</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3.2拟派项目负责人须提供通过在本单位注册且在有效期内的国家一级工程造价工程师。（响应文件中须附以上证件的原件扫描件并加盖单位公章。）</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3.4根据洛财购[2021]11号文件，供应商须按照规定提供“洛阳市政府采购供应商信用承诺函"（详见附件），采购人有权在签订合同前要求成交供应商提供相关证明材料以核实成交供应商承诺事项的真实性。</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3.5本项目不接受联合体投标，单位负责人为同一人或者存在控股、管理关系的不同单位，不得同时对本项目投标。</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3.6资格审查方式：资格后审，资格不合格者，取消其磋商资格。供应商应对资料的真实性合法性负责。</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六、获取磋商文件方式：</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凡有意参加的供应商无须到现场报名，请于2023年</w:t>
      </w:r>
      <w:r>
        <w:rPr>
          <w:rFonts w:ascii="仿宋" w:eastAsia="仿宋" w:hAnsi="仿宋" w:hint="eastAsia"/>
          <w:spacing w:val="14"/>
          <w:sz w:val="24"/>
          <w:szCs w:val="24"/>
          <w:u w:val="single"/>
        </w:rPr>
        <w:t>11</w:t>
      </w:r>
      <w:r>
        <w:rPr>
          <w:rFonts w:ascii="仿宋" w:eastAsia="仿宋" w:hAnsi="仿宋" w:hint="eastAsia"/>
          <w:spacing w:val="14"/>
          <w:sz w:val="24"/>
          <w:szCs w:val="24"/>
        </w:rPr>
        <w:t>月</w:t>
      </w:r>
      <w:r>
        <w:rPr>
          <w:rFonts w:ascii="仿宋" w:eastAsia="仿宋" w:hAnsi="仿宋" w:hint="eastAsia"/>
          <w:spacing w:val="14"/>
          <w:sz w:val="24"/>
          <w:szCs w:val="24"/>
          <w:u w:val="single"/>
        </w:rPr>
        <w:t>4</w:t>
      </w:r>
      <w:r>
        <w:rPr>
          <w:rFonts w:ascii="仿宋" w:eastAsia="仿宋" w:hAnsi="仿宋" w:hint="eastAsia"/>
          <w:spacing w:val="14"/>
          <w:sz w:val="24"/>
          <w:szCs w:val="24"/>
        </w:rPr>
        <w:t>日至2023年</w:t>
      </w:r>
      <w:r>
        <w:rPr>
          <w:rFonts w:ascii="仿宋" w:eastAsia="仿宋" w:hAnsi="仿宋" w:hint="eastAsia"/>
          <w:spacing w:val="14"/>
          <w:sz w:val="24"/>
          <w:szCs w:val="24"/>
          <w:u w:val="single"/>
        </w:rPr>
        <w:t>11</w:t>
      </w:r>
      <w:r>
        <w:rPr>
          <w:rFonts w:ascii="仿宋" w:eastAsia="仿宋" w:hAnsi="仿宋" w:hint="eastAsia"/>
          <w:spacing w:val="14"/>
          <w:sz w:val="24"/>
          <w:szCs w:val="24"/>
        </w:rPr>
        <w:t>月</w:t>
      </w:r>
      <w:r>
        <w:rPr>
          <w:rFonts w:ascii="仿宋" w:eastAsia="仿宋" w:hAnsi="仿宋" w:hint="eastAsia"/>
          <w:spacing w:val="14"/>
          <w:sz w:val="24"/>
          <w:szCs w:val="24"/>
          <w:u w:val="single"/>
        </w:rPr>
        <w:t>10</w:t>
      </w:r>
      <w:r>
        <w:rPr>
          <w:rFonts w:ascii="仿宋" w:eastAsia="仿宋" w:hAnsi="仿宋" w:hint="eastAsia"/>
          <w:spacing w:val="14"/>
          <w:sz w:val="24"/>
          <w:szCs w:val="24"/>
        </w:rPr>
        <w:t>日（法定公休日、法定节假日除外），每日上午8时30分至12时00分，下午14时30分至18时00分（北京时间，下同），</w:t>
      </w:r>
      <w:hyperlink r:id="rId7" w:history="1">
        <w:r>
          <w:rPr>
            <w:rFonts w:ascii="仿宋" w:eastAsia="仿宋" w:hAnsi="仿宋" w:hint="eastAsia"/>
            <w:spacing w:val="14"/>
            <w:sz w:val="24"/>
            <w:szCs w:val="24"/>
          </w:rPr>
          <w:t>请供应商登录河南城发工程管理有限公司官方网站（www.chengfazb.com）完成注册，完成登录后点击招标公告，进入本项目采购公告，同时按要求提交</w:t>
        </w:r>
        <w:r>
          <w:rPr>
            <w:rFonts w:ascii="仿宋" w:eastAsia="仿宋" w:hAnsi="仿宋" w:hint="eastAsia"/>
            <w:b/>
            <w:bCs/>
            <w:spacing w:val="14"/>
            <w:sz w:val="24"/>
            <w:szCs w:val="24"/>
          </w:rPr>
          <w:lastRenderedPageBreak/>
          <w:t>营业执照原件扫描件、授权委托书</w:t>
        </w:r>
        <w:r>
          <w:rPr>
            <w:rFonts w:ascii="仿宋" w:eastAsia="仿宋" w:hAnsi="仿宋" w:hint="eastAsia"/>
            <w:spacing w:val="14"/>
            <w:sz w:val="24"/>
            <w:szCs w:val="24"/>
          </w:rPr>
          <w:t>完成报名，报名审核通过后，可直接在系统中下载磋商文件。</w:t>
        </w:r>
      </w:hyperlink>
      <w:r>
        <w:rPr>
          <w:rFonts w:ascii="仿宋" w:eastAsia="仿宋" w:hAnsi="仿宋" w:hint="eastAsia"/>
          <w:spacing w:val="14"/>
          <w:sz w:val="24"/>
          <w:szCs w:val="24"/>
        </w:rPr>
        <w:t>具体项目报名流程详见河南城发工程管理有限公司官方网站（www.chengfazb.com）-下载中心-用户报名操作手册。</w:t>
      </w:r>
    </w:p>
    <w:p w:rsidR="00E6471C" w:rsidRDefault="00E6471C" w:rsidP="00E6471C">
      <w:pPr>
        <w:pStyle w:val="1"/>
        <w:ind w:firstLineChars="200" w:firstLine="508"/>
        <w:rPr>
          <w:rFonts w:eastAsia="仿宋"/>
        </w:rPr>
      </w:pPr>
      <w:r>
        <w:rPr>
          <w:rFonts w:ascii="仿宋" w:eastAsia="仿宋" w:hAnsi="仿宋" w:hint="eastAsia"/>
          <w:spacing w:val="14"/>
          <w:sz w:val="24"/>
          <w:szCs w:val="24"/>
        </w:rPr>
        <w:t>磋商文件免费获取。</w:t>
      </w:r>
    </w:p>
    <w:p w:rsidR="00E6471C" w:rsidRDefault="00E6471C" w:rsidP="00E6471C">
      <w:pPr>
        <w:pStyle w:val="10"/>
        <w:spacing w:line="360" w:lineRule="auto"/>
        <w:rPr>
          <w:rFonts w:ascii="仿宋" w:eastAsia="仿宋" w:hAnsi="仿宋"/>
          <w:spacing w:val="14"/>
          <w:sz w:val="24"/>
          <w:szCs w:val="24"/>
        </w:rPr>
      </w:pPr>
      <w:r>
        <w:rPr>
          <w:rFonts w:ascii="仿宋" w:eastAsia="仿宋" w:hAnsi="仿宋" w:hint="eastAsia"/>
          <w:spacing w:val="14"/>
          <w:sz w:val="24"/>
          <w:szCs w:val="24"/>
        </w:rPr>
        <w:t>七、本项目采购代理服务费由成交供应商支付。</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八、投标（响应）文件接收截止时间及开标时间：</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1、投标（响应）文件递交的截止时间（投标截止时间）及开标时间（北京时间）为：2023年</w:t>
      </w:r>
      <w:r>
        <w:rPr>
          <w:rFonts w:ascii="仿宋" w:eastAsia="仿宋" w:hAnsi="仿宋" w:hint="eastAsia"/>
          <w:spacing w:val="14"/>
          <w:sz w:val="24"/>
          <w:szCs w:val="24"/>
          <w:u w:val="single"/>
        </w:rPr>
        <w:t>11</w:t>
      </w:r>
      <w:r>
        <w:rPr>
          <w:rFonts w:ascii="仿宋" w:eastAsia="仿宋" w:hAnsi="仿宋" w:hint="eastAsia"/>
          <w:spacing w:val="14"/>
          <w:sz w:val="24"/>
          <w:szCs w:val="24"/>
        </w:rPr>
        <w:t>月</w:t>
      </w:r>
      <w:r>
        <w:rPr>
          <w:rFonts w:ascii="仿宋" w:eastAsia="仿宋" w:hAnsi="仿宋" w:hint="eastAsia"/>
          <w:spacing w:val="14"/>
          <w:sz w:val="24"/>
          <w:szCs w:val="24"/>
          <w:u w:val="single"/>
        </w:rPr>
        <w:t>14</w:t>
      </w:r>
      <w:r>
        <w:rPr>
          <w:rFonts w:ascii="仿宋" w:eastAsia="仿宋" w:hAnsi="仿宋" w:hint="eastAsia"/>
          <w:spacing w:val="14"/>
          <w:sz w:val="24"/>
          <w:szCs w:val="24"/>
        </w:rPr>
        <w:t>日</w:t>
      </w:r>
      <w:r>
        <w:rPr>
          <w:rFonts w:ascii="仿宋" w:eastAsia="仿宋" w:hAnsi="仿宋" w:hint="eastAsia"/>
          <w:spacing w:val="14"/>
          <w:sz w:val="24"/>
          <w:szCs w:val="24"/>
          <w:u w:val="single"/>
        </w:rPr>
        <w:t xml:space="preserve"> 9 </w:t>
      </w:r>
      <w:r>
        <w:rPr>
          <w:rFonts w:ascii="仿宋" w:eastAsia="仿宋" w:hAnsi="仿宋" w:hint="eastAsia"/>
          <w:spacing w:val="14"/>
          <w:sz w:val="24"/>
          <w:szCs w:val="24"/>
        </w:rPr>
        <w:t>时</w:t>
      </w:r>
      <w:r>
        <w:rPr>
          <w:rFonts w:ascii="仿宋" w:eastAsia="仿宋" w:hAnsi="仿宋" w:hint="eastAsia"/>
          <w:spacing w:val="14"/>
          <w:sz w:val="24"/>
          <w:szCs w:val="24"/>
          <w:u w:val="single"/>
        </w:rPr>
        <w:t>30</w:t>
      </w:r>
      <w:r>
        <w:rPr>
          <w:rFonts w:ascii="仿宋" w:eastAsia="仿宋" w:hAnsi="仿宋" w:hint="eastAsia"/>
          <w:spacing w:val="14"/>
          <w:sz w:val="24"/>
          <w:szCs w:val="24"/>
        </w:rPr>
        <w:t>分。</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2、投标（响应）文件接收地点及开标地点为：河南城发工程管理有限公司开标室。</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九、本公告已同时在《中国招标投标公共服务平台》、《河南省电子招标投标公共服务平台》、《洛阳市交通事业发展中心》、《河南城发工程管理有限公司》网站发布。公告期为自发布之日起5个工作日。</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十、采购人名称、地址、联系人和电话：</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采购人：洛阳市交通事业发展中心</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地  址：洛阳市涧西区南昌路172号</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联系人：马先生</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电  话：0379-63255868</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十一、采购代理机构名称、地址、联系人和电话：</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名称：河南城发工程管理有限公司</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地址：洛阳市洛龙区王城大道与开元大道交叉口西南角国宝大厦2506室</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联系人：李先生</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电话：0379-63333677</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十二、监管部门、联系人和联系方式：</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监管部门：洛阳市交通运输局</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lastRenderedPageBreak/>
        <w:t>监管部门联系人：郑先生</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监管部门联系方式：0379-63218170</w:t>
      </w:r>
    </w:p>
    <w:p w:rsidR="00E6471C" w:rsidRDefault="00E6471C" w:rsidP="00E6471C">
      <w:pPr>
        <w:pStyle w:val="10"/>
        <w:spacing w:line="360" w:lineRule="auto"/>
        <w:ind w:firstLineChars="200" w:firstLine="508"/>
        <w:rPr>
          <w:rFonts w:ascii="仿宋" w:eastAsia="仿宋" w:hAnsi="仿宋"/>
          <w:spacing w:val="14"/>
          <w:sz w:val="24"/>
          <w:szCs w:val="24"/>
        </w:rPr>
      </w:pPr>
      <w:r>
        <w:rPr>
          <w:rFonts w:ascii="仿宋" w:eastAsia="仿宋" w:hAnsi="仿宋" w:hint="eastAsia"/>
          <w:spacing w:val="14"/>
          <w:sz w:val="24"/>
          <w:szCs w:val="24"/>
        </w:rPr>
        <w:t>供应商在参与本项目招标采购活动期间应及时关注本网站获取相关澄清或变更等信息。</w:t>
      </w:r>
    </w:p>
    <w:p w:rsidR="004358AB" w:rsidRDefault="004358AB" w:rsidP="00E6471C"/>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05F" w:rsidRDefault="0016305F" w:rsidP="00434185">
      <w:r>
        <w:separator/>
      </w:r>
    </w:p>
  </w:endnote>
  <w:endnote w:type="continuationSeparator" w:id="0">
    <w:p w:rsidR="0016305F" w:rsidRDefault="0016305F" w:rsidP="00434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05F" w:rsidRDefault="0016305F" w:rsidP="00434185">
      <w:r>
        <w:separator/>
      </w:r>
    </w:p>
  </w:footnote>
  <w:footnote w:type="continuationSeparator" w:id="0">
    <w:p w:rsidR="0016305F" w:rsidRDefault="0016305F" w:rsidP="00434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CCFF6"/>
    <w:multiLevelType w:val="singleLevel"/>
    <w:tmpl w:val="58ACCFF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E6471C"/>
    <w:rsid w:val="0016305F"/>
    <w:rsid w:val="00323B43"/>
    <w:rsid w:val="003D37D8"/>
    <w:rsid w:val="00434185"/>
    <w:rsid w:val="004358AB"/>
    <w:rsid w:val="00614533"/>
    <w:rsid w:val="0082371B"/>
    <w:rsid w:val="008B7726"/>
    <w:rsid w:val="00CB518E"/>
    <w:rsid w:val="00E647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71C"/>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_1"/>
    <w:qFormat/>
    <w:rsid w:val="00E6471C"/>
    <w:pPr>
      <w:widowControl w:val="0"/>
      <w:spacing w:after="0" w:line="240" w:lineRule="auto"/>
      <w:jc w:val="both"/>
    </w:pPr>
    <w:rPr>
      <w:rFonts w:ascii="Times New Roman" w:eastAsia="宋体" w:hAnsi="Times New Roman" w:cs="Times New Roman"/>
      <w:sz w:val="20"/>
      <w:szCs w:val="20"/>
    </w:rPr>
  </w:style>
  <w:style w:type="character" w:customStyle="1" w:styleId="CharChar1">
    <w:name w:val="*正文 Char Char_1"/>
    <w:link w:val="10"/>
    <w:locked/>
    <w:rsid w:val="00E6471C"/>
    <w:rPr>
      <w:rFonts w:ascii="微软雅黑" w:hAnsi="微软雅黑"/>
      <w:sz w:val="21"/>
    </w:rPr>
  </w:style>
  <w:style w:type="paragraph" w:customStyle="1" w:styleId="10">
    <w:name w:val="*正文_1"/>
    <w:basedOn w:val="1"/>
    <w:next w:val="1"/>
    <w:link w:val="CharChar1"/>
    <w:qFormat/>
    <w:rsid w:val="00E6471C"/>
    <w:pPr>
      <w:widowControl/>
      <w:ind w:firstLine="482"/>
    </w:pPr>
    <w:rPr>
      <w:rFonts w:ascii="微软雅黑" w:eastAsia="微软雅黑" w:hAnsi="微软雅黑" w:cstheme="minorBidi"/>
      <w:sz w:val="21"/>
      <w:szCs w:val="22"/>
    </w:rPr>
  </w:style>
  <w:style w:type="character" w:customStyle="1" w:styleId="Char0">
    <w:name w:val="标题 Char_0"/>
    <w:link w:val="0"/>
    <w:qFormat/>
    <w:rsid w:val="00E6471C"/>
    <w:rPr>
      <w:rFonts w:ascii="Cambria" w:hAnsi="Cambria"/>
      <w:b/>
      <w:bCs/>
      <w:kern w:val="28"/>
      <w:sz w:val="44"/>
      <w:lang w:eastAsia="en-US" w:bidi="en-US"/>
    </w:rPr>
  </w:style>
  <w:style w:type="paragraph" w:customStyle="1" w:styleId="0">
    <w:name w:val="标题_0"/>
    <w:basedOn w:val="1"/>
    <w:next w:val="1"/>
    <w:link w:val="Char0"/>
    <w:qFormat/>
    <w:rsid w:val="00E6471C"/>
    <w:pPr>
      <w:widowControl/>
      <w:jc w:val="center"/>
      <w:outlineLvl w:val="0"/>
    </w:pPr>
    <w:rPr>
      <w:rFonts w:ascii="Cambria" w:eastAsia="微软雅黑" w:hAnsi="Cambria" w:cstheme="minorBidi"/>
      <w:b/>
      <w:bCs/>
      <w:kern w:val="28"/>
      <w:sz w:val="44"/>
      <w:szCs w:val="22"/>
      <w:lang w:eastAsia="en-US" w:bidi="en-US"/>
    </w:rPr>
  </w:style>
  <w:style w:type="paragraph" w:styleId="a3">
    <w:name w:val="header"/>
    <w:basedOn w:val="a"/>
    <w:link w:val="Char"/>
    <w:uiPriority w:val="99"/>
    <w:semiHidden/>
    <w:unhideWhenUsed/>
    <w:rsid w:val="004341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4185"/>
    <w:rPr>
      <w:rFonts w:ascii="Calibri" w:eastAsia="宋体" w:hAnsi="Calibri" w:cs="Times New Roman"/>
      <w:kern w:val="2"/>
      <w:sz w:val="18"/>
      <w:szCs w:val="18"/>
    </w:rPr>
  </w:style>
  <w:style w:type="paragraph" w:styleId="a4">
    <w:name w:val="footer"/>
    <w:basedOn w:val="a"/>
    <w:link w:val="Char1"/>
    <w:uiPriority w:val="99"/>
    <w:semiHidden/>
    <w:unhideWhenUsed/>
    <w:rsid w:val="00434185"/>
    <w:pPr>
      <w:tabs>
        <w:tab w:val="center" w:pos="4153"/>
        <w:tab w:val="right" w:pos="8306"/>
      </w:tabs>
      <w:snapToGrid w:val="0"/>
      <w:jc w:val="left"/>
    </w:pPr>
    <w:rPr>
      <w:sz w:val="18"/>
      <w:szCs w:val="18"/>
    </w:rPr>
  </w:style>
  <w:style w:type="character" w:customStyle="1" w:styleId="Char1">
    <w:name w:val="页脚 Char"/>
    <w:basedOn w:val="a0"/>
    <w:link w:val="a4"/>
    <w:uiPriority w:val="99"/>
    <w:semiHidden/>
    <w:rsid w:val="00434185"/>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5831;&#20379;&#24212;&#21830;&#36890;&#36807;&#30005;&#23376;&#37038;&#20214;&#21457;&#36865;&#22996;&#25176;&#20070;&#12289;&#34987;&#22996;&#25176;&#20154;&#36523;&#20221;&#35777;&#25195;&#25551;&#20214;&#21450;&#34987;&#22996;&#25176;&#20154;&#31038;&#20445;&#35777;&#26126;&#33267;&#37319;&#36141;&#20195;&#29702;&#26426;&#26500;&#37038;&#31665;&#65288;chengfa2505@163.com&#65289;&#65292;&#37319;&#36141;&#20195;&#29702;&#26426;&#26500;&#20351;&#29992;&#30005;&#23376;&#37038;&#20214;&#21457;&#36865;&#25307;&#26631;&#25991;&#20214;&#30005;&#23376;&#29256;&#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2023-11-03T09:07:00Z</dcterms:created>
  <dcterms:modified xsi:type="dcterms:W3CDTF">2023-11-03T09:07:00Z</dcterms:modified>
</cp:coreProperties>
</file>