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bookmarkStart w:id="1" w:name="_GoBack"/>
      <w:bookmarkEnd w:id="1"/>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6</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21</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rPr>
        <w:t>洛界高速公路水毁处治工程施工等四个项目招标代理机构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：洛界高速公路水毁处治工程施工等四个项目招标代理</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sz w:val="28"/>
          <w:szCs w:val="28"/>
          <w:u w:val="single"/>
        </w:rPr>
        <w:t>洛界高速公路</w:t>
      </w:r>
      <w:r>
        <w:rPr>
          <w:rFonts w:hint="eastAsia" w:ascii="仿宋" w:hAnsi="仿宋" w:eastAsia="仿宋" w:cs="仿宋"/>
          <w:sz w:val="28"/>
          <w:szCs w:val="28"/>
          <w:u w:val="single"/>
          <w:lang w:val="en-US" w:eastAsia="zh-CN"/>
        </w:rPr>
        <w:t>K711边坡水毁处治工程施工；2.洛界高速公路（</w:t>
      </w:r>
      <w:r>
        <w:rPr>
          <w:rFonts w:ascii="仿宋" w:hAnsi="仿宋" w:eastAsia="仿宋" w:cs="仿宋"/>
          <w:sz w:val="28"/>
          <w:szCs w:val="28"/>
          <w:u w:val="single"/>
        </w:rPr>
        <w:t>2022-2025</w:t>
      </w:r>
      <w:r>
        <w:rPr>
          <w:rFonts w:hint="eastAsia" w:ascii="仿宋" w:hAnsi="仿宋" w:eastAsia="仿宋" w:cs="仿宋"/>
          <w:sz w:val="28"/>
          <w:szCs w:val="28"/>
          <w:u w:val="single"/>
        </w:rPr>
        <w:t>年度</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日常养护工程监理服务</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3.二广高速（洛阳城区段）改扩建工程桥涵定检服务采购招标；4.二广高速（洛阳城区段）龙门山西半幅路段山体边坡地勘、设计及安全评估服务招标。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300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553F6E"/>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0903B5"/>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50638E"/>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68305C"/>
    <w:rsid w:val="75882579"/>
    <w:rsid w:val="765B5EE0"/>
    <w:rsid w:val="77617003"/>
    <w:rsid w:val="77834B5C"/>
    <w:rsid w:val="79766B8D"/>
    <w:rsid w:val="79E24222"/>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2426</Words>
  <Characters>2529</Characters>
  <Lines>27</Lines>
  <Paragraphs>7</Paragraphs>
  <TotalTime>13</TotalTime>
  <ScaleCrop>false</ScaleCrop>
  <LinksUpToDate>false</LinksUpToDate>
  <CharactersWithSpaces>2762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2023-06-14T01:29:00Z</cp:lastPrinted>
  <dcterms:modified xsi:type="dcterms:W3CDTF">2023-06-16T06:41:26Z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