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仿宋" w:asciiTheme="majorEastAsia" w:hAnsiTheme="majorEastAsia" w:eastAsiaTheme="majorEastAsia"/>
          <w:b/>
          <w:bCs/>
          <w:color w:val="auto"/>
          <w:sz w:val="32"/>
          <w:szCs w:val="32"/>
        </w:rPr>
      </w:pPr>
      <w:r>
        <w:rPr>
          <w:rFonts w:hint="eastAsia" w:cs="仿宋" w:asciiTheme="majorEastAsia" w:hAnsiTheme="majorEastAsia" w:eastAsiaTheme="majorEastAsia"/>
          <w:b/>
          <w:bCs/>
          <w:color w:val="auto"/>
          <w:sz w:val="32"/>
          <w:szCs w:val="32"/>
          <w:lang w:eastAsia="zh-CN"/>
        </w:rPr>
        <w:t>洛阳市</w:t>
      </w:r>
      <w:r>
        <w:rPr>
          <w:rFonts w:hint="eastAsia" w:cs="仿宋" w:asciiTheme="majorEastAsia" w:hAnsiTheme="majorEastAsia" w:eastAsiaTheme="majorEastAsia"/>
          <w:b/>
          <w:bCs/>
          <w:color w:val="auto"/>
          <w:sz w:val="32"/>
          <w:szCs w:val="32"/>
        </w:rPr>
        <w:t>S312线陆村十字口至游王段次差路路面</w:t>
      </w:r>
      <w:r>
        <w:rPr>
          <w:rFonts w:hint="eastAsia" w:cs="仿宋" w:asciiTheme="majorEastAsia" w:hAnsiTheme="majorEastAsia" w:eastAsiaTheme="majorEastAsia"/>
          <w:b/>
          <w:bCs/>
          <w:color w:val="auto"/>
          <w:sz w:val="32"/>
          <w:szCs w:val="32"/>
          <w:lang w:val="zh-CN"/>
        </w:rPr>
        <w:t>改造</w:t>
      </w:r>
      <w:r>
        <w:rPr>
          <w:rFonts w:hint="eastAsia" w:cs="仿宋" w:asciiTheme="majorEastAsia" w:hAnsiTheme="majorEastAsia" w:eastAsiaTheme="majorEastAsia"/>
          <w:b/>
          <w:bCs/>
          <w:color w:val="auto"/>
          <w:sz w:val="32"/>
          <w:szCs w:val="32"/>
        </w:rPr>
        <w:t>工程招标代理遴选公告</w:t>
      </w:r>
    </w:p>
    <w:p>
      <w:pPr>
        <w:pStyle w:val="2"/>
        <w:rPr>
          <w:color w:val="auto"/>
        </w:rPr>
      </w:pPr>
    </w:p>
    <w:p>
      <w:pPr>
        <w:spacing w:line="520" w:lineRule="exact"/>
        <w:ind w:firstLine="560" w:firstLineChars="200"/>
        <w:rPr>
          <w:rFonts w:ascii="仿宋" w:hAnsi="仿宋" w:eastAsia="仿宋" w:cs="仿宋"/>
          <w:color w:val="auto"/>
          <w:sz w:val="28"/>
          <w:szCs w:val="28"/>
          <w:u w:val="single"/>
        </w:rPr>
      </w:pPr>
      <w:r>
        <w:rPr>
          <w:rFonts w:hint="eastAsia" w:ascii="仿宋" w:hAnsi="仿宋" w:eastAsia="仿宋" w:cs="仿宋"/>
          <w:color w:val="auto"/>
          <w:sz w:val="28"/>
          <w:szCs w:val="28"/>
        </w:rPr>
        <w:t>洛阳市</w:t>
      </w:r>
      <w:r>
        <w:rPr>
          <w:rFonts w:hint="eastAsia" w:ascii="仿宋" w:hAnsi="仿宋" w:eastAsia="仿宋" w:cs="仿宋"/>
          <w:color w:val="auto"/>
          <w:sz w:val="28"/>
          <w:szCs w:val="28"/>
          <w:lang w:eastAsia="zh-CN"/>
        </w:rPr>
        <w:t>交通</w:t>
      </w:r>
      <w:r>
        <w:rPr>
          <w:rFonts w:hint="eastAsia" w:ascii="仿宋" w:hAnsi="仿宋" w:eastAsia="仿宋" w:cs="仿宋"/>
          <w:color w:val="auto"/>
          <w:sz w:val="28"/>
          <w:szCs w:val="28"/>
        </w:rPr>
        <w:t>事业发展中心拟定于</w:t>
      </w:r>
      <w:r>
        <w:rPr>
          <w:rFonts w:ascii="仿宋" w:hAnsi="仿宋" w:eastAsia="仿宋" w:cs="仿宋"/>
          <w:b/>
          <w:color w:val="auto"/>
          <w:sz w:val="28"/>
          <w:szCs w:val="28"/>
          <w:u w:val="single"/>
        </w:rPr>
        <w:t xml:space="preserve"> 202</w:t>
      </w:r>
      <w:r>
        <w:rPr>
          <w:rFonts w:hint="eastAsia" w:ascii="仿宋" w:hAnsi="仿宋" w:eastAsia="仿宋" w:cs="仿宋"/>
          <w:b/>
          <w:color w:val="auto"/>
          <w:sz w:val="28"/>
          <w:szCs w:val="28"/>
          <w:u w:val="single"/>
          <w:lang w:val="en-US" w:eastAsia="zh-CN"/>
        </w:rPr>
        <w:t>3</w:t>
      </w:r>
      <w:r>
        <w:rPr>
          <w:rFonts w:hint="eastAsia" w:ascii="仿宋" w:hAnsi="仿宋" w:eastAsia="仿宋" w:cs="仿宋"/>
          <w:b/>
          <w:color w:val="auto"/>
          <w:sz w:val="28"/>
          <w:szCs w:val="28"/>
          <w:u w:val="single"/>
        </w:rPr>
        <w:t>年</w:t>
      </w:r>
      <w:r>
        <w:rPr>
          <w:rFonts w:hint="eastAsia" w:ascii="仿宋" w:hAnsi="仿宋" w:eastAsia="仿宋" w:cs="仿宋"/>
          <w:b/>
          <w:color w:val="auto"/>
          <w:sz w:val="28"/>
          <w:szCs w:val="28"/>
          <w:u w:val="single"/>
          <w:lang w:val="en-US" w:eastAsia="zh-CN"/>
        </w:rPr>
        <w:t>3</w:t>
      </w:r>
      <w:r>
        <w:rPr>
          <w:rFonts w:hint="eastAsia" w:ascii="仿宋" w:hAnsi="仿宋" w:eastAsia="仿宋" w:cs="仿宋"/>
          <w:b/>
          <w:color w:val="auto"/>
          <w:sz w:val="28"/>
          <w:szCs w:val="28"/>
          <w:u w:val="single"/>
        </w:rPr>
        <w:t>月</w:t>
      </w:r>
      <w:r>
        <w:rPr>
          <w:rFonts w:hint="eastAsia" w:ascii="仿宋" w:hAnsi="仿宋" w:eastAsia="仿宋" w:cs="仿宋"/>
          <w:b/>
          <w:color w:val="auto"/>
          <w:sz w:val="28"/>
          <w:szCs w:val="28"/>
          <w:u w:val="single"/>
          <w:lang w:val="en-US" w:eastAsia="zh-CN"/>
        </w:rPr>
        <w:t>24</w:t>
      </w:r>
      <w:r>
        <w:rPr>
          <w:rFonts w:hint="eastAsia" w:ascii="仿宋" w:hAnsi="仿宋" w:eastAsia="仿宋" w:cs="仿宋"/>
          <w:b/>
          <w:color w:val="auto"/>
          <w:sz w:val="28"/>
          <w:szCs w:val="28"/>
          <w:u w:val="single"/>
        </w:rPr>
        <w:t>日</w:t>
      </w:r>
      <w:r>
        <w:rPr>
          <w:rFonts w:hint="eastAsia" w:ascii="仿宋" w:hAnsi="仿宋" w:eastAsia="仿宋" w:cs="仿宋"/>
          <w:b/>
          <w:color w:val="auto"/>
          <w:sz w:val="28"/>
          <w:szCs w:val="28"/>
          <w:u w:val="single"/>
          <w:lang w:val="en-US" w:eastAsia="zh-CN"/>
        </w:rPr>
        <w:t>9</w:t>
      </w:r>
      <w:r>
        <w:rPr>
          <w:rFonts w:hint="eastAsia" w:ascii="仿宋" w:hAnsi="仿宋" w:eastAsia="仿宋" w:cs="仿宋"/>
          <w:b/>
          <w:color w:val="auto"/>
          <w:sz w:val="28"/>
          <w:szCs w:val="28"/>
          <w:u w:val="single"/>
        </w:rPr>
        <w:t>时</w:t>
      </w:r>
      <w:r>
        <w:rPr>
          <w:rFonts w:hint="eastAsia" w:ascii="仿宋" w:hAnsi="仿宋" w:eastAsia="仿宋" w:cs="仿宋"/>
          <w:b/>
          <w:color w:val="auto"/>
          <w:sz w:val="28"/>
          <w:szCs w:val="28"/>
          <w:u w:val="single"/>
          <w:lang w:val="en-US" w:eastAsia="zh-CN"/>
        </w:rPr>
        <w:t>3</w:t>
      </w:r>
      <w:r>
        <w:rPr>
          <w:rFonts w:hint="eastAsia" w:ascii="仿宋" w:hAnsi="仿宋" w:eastAsia="仿宋" w:cs="仿宋"/>
          <w:b/>
          <w:color w:val="auto"/>
          <w:sz w:val="28"/>
          <w:szCs w:val="28"/>
          <w:u w:val="single"/>
        </w:rPr>
        <w:t>0分</w:t>
      </w:r>
      <w:r>
        <w:rPr>
          <w:rFonts w:hint="eastAsia" w:ascii="仿宋" w:hAnsi="仿宋" w:eastAsia="仿宋" w:cs="仿宋"/>
          <w:b/>
          <w:color w:val="auto"/>
          <w:sz w:val="28"/>
          <w:szCs w:val="28"/>
        </w:rPr>
        <w:t>在</w:t>
      </w:r>
      <w:r>
        <w:rPr>
          <w:rFonts w:hint="eastAsia" w:ascii="仿宋" w:hAnsi="仿宋" w:eastAsia="仿宋" w:cs="仿宋"/>
          <w:b/>
          <w:color w:val="auto"/>
          <w:sz w:val="28"/>
          <w:szCs w:val="28"/>
          <w:u w:val="single"/>
        </w:rPr>
        <w:t>市中心办公楼</w:t>
      </w:r>
      <w:r>
        <w:rPr>
          <w:rFonts w:hint="eastAsia" w:ascii="仿宋" w:hAnsi="仿宋" w:eastAsia="仿宋" w:cs="仿宋"/>
          <w:b/>
          <w:color w:val="auto"/>
          <w:sz w:val="28"/>
          <w:szCs w:val="28"/>
          <w:u w:val="single"/>
          <w:lang w:val="en-US" w:eastAsia="zh-CN"/>
        </w:rPr>
        <w:t>615</w:t>
      </w:r>
      <w:r>
        <w:rPr>
          <w:rFonts w:hint="eastAsia" w:ascii="仿宋" w:hAnsi="仿宋" w:eastAsia="仿宋" w:cs="仿宋"/>
          <w:b/>
          <w:color w:val="auto"/>
          <w:sz w:val="28"/>
          <w:szCs w:val="28"/>
          <w:u w:val="single"/>
        </w:rPr>
        <w:t>室</w:t>
      </w:r>
      <w:r>
        <w:rPr>
          <w:rFonts w:hint="eastAsia" w:ascii="仿宋" w:hAnsi="仿宋" w:eastAsia="仿宋" w:cs="仿宋"/>
          <w:color w:val="auto"/>
          <w:sz w:val="28"/>
          <w:szCs w:val="28"/>
        </w:rPr>
        <w:t>召开</w:t>
      </w:r>
      <w:r>
        <w:rPr>
          <w:rFonts w:hint="eastAsia" w:ascii="仿宋" w:hAnsi="仿宋" w:eastAsia="仿宋" w:cs="仿宋"/>
          <w:b/>
          <w:bCs/>
          <w:color w:val="auto"/>
          <w:sz w:val="28"/>
          <w:szCs w:val="28"/>
          <w:u w:val="single"/>
          <w:lang w:eastAsia="zh-CN"/>
        </w:rPr>
        <w:t>洛阳市</w:t>
      </w:r>
      <w:r>
        <w:rPr>
          <w:rFonts w:hint="eastAsia" w:ascii="仿宋" w:hAnsi="仿宋" w:eastAsia="仿宋" w:cs="仿宋"/>
          <w:b/>
          <w:bCs/>
          <w:color w:val="auto"/>
          <w:sz w:val="28"/>
          <w:szCs w:val="28"/>
          <w:u w:val="single"/>
        </w:rPr>
        <w:t>S312线陆村十字口至游王段次差路路面</w:t>
      </w:r>
      <w:r>
        <w:rPr>
          <w:rFonts w:hint="eastAsia" w:ascii="仿宋" w:hAnsi="仿宋" w:eastAsia="仿宋" w:cs="仿宋"/>
          <w:b/>
          <w:bCs/>
          <w:color w:val="auto"/>
          <w:sz w:val="28"/>
          <w:szCs w:val="28"/>
          <w:u w:val="single"/>
          <w:lang w:val="zh-CN"/>
        </w:rPr>
        <w:t>改造</w:t>
      </w:r>
      <w:r>
        <w:rPr>
          <w:rFonts w:hint="eastAsia" w:ascii="仿宋" w:hAnsi="仿宋" w:eastAsia="仿宋" w:cs="仿宋"/>
          <w:b/>
          <w:bCs/>
          <w:color w:val="auto"/>
          <w:sz w:val="28"/>
          <w:szCs w:val="28"/>
          <w:u w:val="single"/>
        </w:rPr>
        <w:t>工程</w:t>
      </w:r>
      <w:r>
        <w:rPr>
          <w:rFonts w:hint="eastAsia" w:ascii="仿宋" w:hAnsi="仿宋" w:eastAsia="仿宋" w:cs="仿宋"/>
          <w:color w:val="auto"/>
          <w:sz w:val="28"/>
          <w:szCs w:val="28"/>
        </w:rPr>
        <w:t>招标代理</w:t>
      </w:r>
      <w:r>
        <w:rPr>
          <w:rFonts w:hint="eastAsia" w:ascii="仿宋" w:hAnsi="仿宋" w:eastAsia="仿宋" w:cs="仿宋"/>
          <w:color w:val="auto"/>
          <w:sz w:val="28"/>
          <w:szCs w:val="28"/>
          <w:lang w:eastAsia="zh-CN"/>
        </w:rPr>
        <w:t>机构</w:t>
      </w:r>
      <w:r>
        <w:rPr>
          <w:rFonts w:hint="eastAsia" w:ascii="仿宋" w:hAnsi="仿宋" w:eastAsia="仿宋" w:cs="仿宋"/>
          <w:color w:val="auto"/>
          <w:sz w:val="28"/>
          <w:szCs w:val="28"/>
        </w:rPr>
        <w:t>遴选会议，欢迎符合要求的招标代理机构参加此次遴选活动，现将遴选内容公告如下：</w:t>
      </w:r>
    </w:p>
    <w:p>
      <w:pPr>
        <w:pStyle w:val="2"/>
        <w:numPr>
          <w:ilvl w:val="0"/>
          <w:numId w:val="1"/>
        </w:numPr>
        <w:spacing w:line="520" w:lineRule="exact"/>
        <w:rPr>
          <w:rFonts w:ascii="仿宋" w:hAnsi="仿宋" w:eastAsia="仿宋" w:cs="仿宋"/>
          <w:b/>
          <w:color w:val="auto"/>
          <w:szCs w:val="28"/>
        </w:rPr>
      </w:pPr>
      <w:r>
        <w:rPr>
          <w:rFonts w:hint="eastAsia" w:ascii="仿宋" w:hAnsi="仿宋" w:eastAsia="仿宋" w:cs="仿宋"/>
          <w:b/>
          <w:color w:val="auto"/>
          <w:szCs w:val="28"/>
        </w:rPr>
        <w:t>招标代理工作范围和项目概况</w:t>
      </w:r>
    </w:p>
    <w:p>
      <w:pPr>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1、项目名称：</w:t>
      </w:r>
      <w:r>
        <w:rPr>
          <w:rFonts w:hint="eastAsia" w:ascii="仿宋" w:hAnsi="仿宋" w:eastAsia="仿宋" w:cs="仿宋"/>
          <w:color w:val="auto"/>
          <w:sz w:val="28"/>
          <w:szCs w:val="28"/>
          <w:lang w:eastAsia="zh-CN"/>
        </w:rPr>
        <w:t>洛阳市</w:t>
      </w:r>
      <w:r>
        <w:rPr>
          <w:rFonts w:hint="eastAsia" w:ascii="仿宋" w:hAnsi="仿宋" w:eastAsia="仿宋" w:cs="仿宋"/>
          <w:color w:val="auto"/>
          <w:sz w:val="28"/>
          <w:szCs w:val="28"/>
        </w:rPr>
        <w:t>S312线陆村十字口至游王段次差路路面</w:t>
      </w:r>
      <w:r>
        <w:rPr>
          <w:rFonts w:hint="eastAsia" w:ascii="仿宋" w:hAnsi="仿宋" w:eastAsia="仿宋" w:cs="仿宋"/>
          <w:color w:val="auto"/>
          <w:sz w:val="28"/>
          <w:szCs w:val="28"/>
          <w:lang w:val="zh-CN"/>
        </w:rPr>
        <w:t>改造</w:t>
      </w:r>
      <w:r>
        <w:rPr>
          <w:rFonts w:hint="eastAsia" w:ascii="仿宋" w:hAnsi="仿宋" w:eastAsia="仿宋" w:cs="仿宋"/>
          <w:color w:val="auto"/>
          <w:sz w:val="28"/>
          <w:szCs w:val="28"/>
        </w:rPr>
        <w:t>工程</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2、委托招标代理范围：</w:t>
      </w:r>
      <w:r>
        <w:rPr>
          <w:rFonts w:hint="eastAsia" w:ascii="仿宋" w:hAnsi="仿宋" w:eastAsia="仿宋" w:cs="仿宋"/>
          <w:color w:val="auto"/>
          <w:sz w:val="28"/>
          <w:szCs w:val="28"/>
          <w:u w:val="single"/>
          <w:lang w:eastAsia="zh-CN"/>
        </w:rPr>
        <w:t>洛阳市</w:t>
      </w:r>
      <w:r>
        <w:rPr>
          <w:rFonts w:hint="eastAsia" w:ascii="仿宋" w:hAnsi="仿宋" w:eastAsia="仿宋" w:cs="仿宋"/>
          <w:color w:val="auto"/>
          <w:sz w:val="28"/>
          <w:szCs w:val="28"/>
          <w:u w:val="single"/>
        </w:rPr>
        <w:t>S312线陆村十字口至游王段次差路路面</w:t>
      </w:r>
      <w:r>
        <w:rPr>
          <w:rFonts w:hint="eastAsia" w:ascii="仿宋" w:hAnsi="仿宋" w:eastAsia="仿宋" w:cs="仿宋"/>
          <w:color w:val="auto"/>
          <w:sz w:val="28"/>
          <w:szCs w:val="28"/>
          <w:u w:val="single"/>
          <w:lang w:val="zh-CN"/>
        </w:rPr>
        <w:t>改造</w:t>
      </w:r>
      <w:r>
        <w:rPr>
          <w:rFonts w:hint="eastAsia" w:ascii="仿宋" w:hAnsi="仿宋" w:eastAsia="仿宋" w:cs="仿宋"/>
          <w:color w:val="auto"/>
          <w:sz w:val="28"/>
          <w:szCs w:val="28"/>
          <w:u w:val="single"/>
        </w:rPr>
        <w:t>工程监理、质量检测、水土保持、交竣工检测</w:t>
      </w:r>
      <w:r>
        <w:rPr>
          <w:rFonts w:hint="eastAsia" w:ascii="仿宋" w:hAnsi="仿宋" w:eastAsia="仿宋" w:cs="仿宋"/>
          <w:color w:val="auto"/>
          <w:sz w:val="28"/>
          <w:szCs w:val="28"/>
        </w:rPr>
        <w:t>等。</w:t>
      </w:r>
    </w:p>
    <w:p>
      <w:p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3、项目概况：</w:t>
      </w:r>
      <w:r>
        <w:rPr>
          <w:rFonts w:hint="eastAsia" w:ascii="仿宋_GB2312" w:hAnsi="仿宋_GB2312" w:eastAsia="仿宋_GB2312" w:cs="仿宋_GB2312"/>
          <w:color w:val="auto"/>
          <w:sz w:val="28"/>
          <w:szCs w:val="28"/>
          <w:lang w:eastAsia="zh-CN"/>
        </w:rPr>
        <w:t>本</w:t>
      </w:r>
      <w:r>
        <w:rPr>
          <w:rFonts w:hint="eastAsia" w:ascii="仿宋_GB2312" w:hAnsi="仿宋_GB2312" w:eastAsia="仿宋_GB2312" w:cs="仿宋_GB2312"/>
          <w:color w:val="auto"/>
          <w:sz w:val="28"/>
          <w:szCs w:val="28"/>
        </w:rPr>
        <w:t>项目</w:t>
      </w:r>
      <w:r>
        <w:rPr>
          <w:rFonts w:hint="eastAsia" w:ascii="仿宋_GB2312" w:hAnsi="仿宋_GB2312" w:eastAsia="仿宋_GB2312" w:cs="仿宋_GB2312"/>
          <w:color w:val="auto"/>
          <w:sz w:val="28"/>
          <w:szCs w:val="28"/>
          <w:lang w:eastAsia="zh-CN"/>
        </w:rPr>
        <w:t>为路面改造工程，</w:t>
      </w:r>
      <w:r>
        <w:rPr>
          <w:rFonts w:hint="eastAsia" w:ascii="仿宋_GB2312" w:hAnsi="仿宋" w:eastAsia="仿宋_GB2312"/>
          <w:color w:val="auto"/>
          <w:sz w:val="28"/>
          <w:szCs w:val="28"/>
          <w:lang w:val="zh-CN"/>
        </w:rPr>
        <w:t>起点位于孟津区会盟镇陆村十字口，终点位于孟津区游王村，二级公路，设计速度40km/h，路线全长13.284km。</w:t>
      </w:r>
    </w:p>
    <w:p>
      <w:pPr>
        <w:pStyle w:val="2"/>
        <w:spacing w:line="520" w:lineRule="exact"/>
        <w:ind w:firstLine="560" w:firstLineChars="200"/>
        <w:rPr>
          <w:rFonts w:hint="default" w:ascii="仿宋" w:hAnsi="仿宋" w:eastAsia="仿宋" w:cs="仿宋"/>
          <w:color w:val="auto"/>
          <w:kern w:val="2"/>
          <w:sz w:val="28"/>
          <w:szCs w:val="28"/>
          <w:lang w:val="en-US"/>
        </w:rPr>
      </w:pPr>
      <w:r>
        <w:rPr>
          <w:rFonts w:hint="eastAsia" w:ascii="仿宋" w:hAnsi="仿宋" w:eastAsia="仿宋" w:cs="仿宋"/>
          <w:color w:val="auto"/>
          <w:kern w:val="2"/>
          <w:sz w:val="28"/>
          <w:szCs w:val="28"/>
        </w:rPr>
        <w:t>4、资金来源及预算金额：财政资金</w:t>
      </w:r>
      <w:r>
        <w:rPr>
          <w:rFonts w:hint="eastAsia" w:ascii="仿宋" w:hAnsi="仿宋" w:eastAsia="仿宋" w:cs="仿宋"/>
          <w:color w:val="auto"/>
          <w:kern w:val="2"/>
          <w:sz w:val="28"/>
          <w:szCs w:val="28"/>
          <w:lang w:eastAsia="zh-CN"/>
        </w:rPr>
        <w:t>。本项目</w:t>
      </w:r>
      <w:r>
        <w:rPr>
          <w:rFonts w:hint="eastAsia" w:ascii="仿宋_GB2312" w:hAnsi="仿宋" w:eastAsia="仿宋_GB2312"/>
          <w:color w:val="auto"/>
          <w:sz w:val="28"/>
          <w:szCs w:val="28"/>
          <w:lang w:val="zh-CN"/>
        </w:rPr>
        <w:t>批复施工图预算为</w:t>
      </w:r>
      <w:r>
        <w:rPr>
          <w:rFonts w:hint="eastAsia" w:ascii="仿宋_GB2312" w:hAnsi="仿宋" w:eastAsia="仿宋_GB2312"/>
          <w:color w:val="auto"/>
          <w:sz w:val="28"/>
          <w:szCs w:val="28"/>
          <w:lang w:val="en-US" w:eastAsia="zh-CN"/>
        </w:rPr>
        <w:t>6205.76万元，其中建安费5724.57万元。监理、质量检测、水土保持、交竣工检测</w:t>
      </w:r>
      <w:r>
        <w:rPr>
          <w:rFonts w:hint="eastAsia" w:ascii="仿宋_GB2312" w:hAnsi="仿宋"/>
          <w:color w:val="auto"/>
          <w:sz w:val="28"/>
          <w:szCs w:val="28"/>
          <w:lang w:val="en-US" w:eastAsia="zh-CN"/>
        </w:rPr>
        <w:t>等，预算金额175万元。</w:t>
      </w:r>
    </w:p>
    <w:p>
      <w:pPr>
        <w:pStyle w:val="2"/>
        <w:spacing w:line="52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2"/>
        <w:spacing w:line="520" w:lineRule="exact"/>
        <w:ind w:firstLine="602" w:firstLineChars="200"/>
        <w:rPr>
          <w:rFonts w:ascii="仿宋" w:hAnsi="仿宋" w:eastAsia="仿宋" w:cs="仿宋"/>
          <w:b/>
          <w:color w:val="auto"/>
          <w:szCs w:val="28"/>
        </w:rPr>
      </w:pPr>
      <w:r>
        <w:rPr>
          <w:rFonts w:hint="eastAsia" w:ascii="仿宋" w:hAnsi="仿宋" w:eastAsia="仿宋" w:cs="仿宋"/>
          <w:b/>
          <w:color w:val="auto"/>
          <w:szCs w:val="28"/>
        </w:rPr>
        <w:t>二、招标代理机构资格要求及代理工作要求</w:t>
      </w:r>
    </w:p>
    <w:p>
      <w:pPr>
        <w:pStyle w:val="2"/>
        <w:spacing w:line="520" w:lineRule="exact"/>
        <w:ind w:firstLine="600" w:firstLineChars="200"/>
        <w:rPr>
          <w:rFonts w:ascii="仿宋" w:hAnsi="仿宋" w:eastAsia="仿宋" w:cs="仿宋"/>
          <w:color w:val="auto"/>
          <w:kern w:val="2"/>
          <w:sz w:val="28"/>
          <w:szCs w:val="28"/>
        </w:rPr>
      </w:pPr>
      <w:r>
        <w:rPr>
          <w:rFonts w:ascii="仿宋" w:hAnsi="仿宋" w:eastAsia="仿宋" w:cs="仿宋"/>
          <w:color w:val="auto"/>
          <w:szCs w:val="28"/>
        </w:rPr>
        <w:t>1</w:t>
      </w:r>
      <w:r>
        <w:rPr>
          <w:rFonts w:hint="eastAsia" w:ascii="仿宋" w:hAnsi="仿宋" w:eastAsia="仿宋" w:cs="仿宋"/>
          <w:color w:val="auto"/>
          <w:szCs w:val="28"/>
        </w:rPr>
        <w:t>、</w:t>
      </w:r>
      <w:r>
        <w:rPr>
          <w:rFonts w:hint="eastAsia" w:ascii="仿宋" w:hAnsi="仿宋" w:eastAsia="仿宋" w:cs="仿宋"/>
          <w:color w:val="auto"/>
          <w:kern w:val="2"/>
          <w:sz w:val="28"/>
          <w:szCs w:val="28"/>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2"/>
        <w:spacing w:line="52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2、法定代表人授权委托书（原件，格式详见附件）；授权委托人须为招标代理单位自有人员，须提供授权委托人近半年内任意连续3个月的社保证明资料（附社保证明资料复印件加盖公司公章）；</w:t>
      </w:r>
    </w:p>
    <w:p>
      <w:pPr>
        <w:pStyle w:val="2"/>
        <w:spacing w:line="52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3、须在中国招标投标公共服务平台、河南省电子招标投标公共服务平台、 洛阳市政府采购网和洛阳市公共资源交易中心网站登记备案（截图加盖公章）；</w:t>
      </w:r>
    </w:p>
    <w:p>
      <w:pPr>
        <w:pStyle w:val="2"/>
        <w:spacing w:line="52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2"/>
        <w:spacing w:line="520" w:lineRule="exact"/>
        <w:ind w:firstLine="560" w:firstLineChars="200"/>
        <w:rPr>
          <w:rFonts w:hint="eastAsia" w:ascii="仿宋" w:hAnsi="仿宋" w:eastAsia="仿宋" w:cs="仿宋"/>
          <w:color w:val="auto"/>
          <w:kern w:val="2"/>
          <w:sz w:val="28"/>
          <w:szCs w:val="28"/>
        </w:rPr>
      </w:pPr>
      <w:r>
        <w:rPr>
          <w:rFonts w:ascii="仿宋" w:hAnsi="仿宋" w:eastAsia="仿宋" w:cs="仿宋"/>
          <w:color w:val="auto"/>
          <w:sz w:val="28"/>
          <w:szCs w:val="28"/>
        </w:rPr>
        <w:t>5</w:t>
      </w:r>
      <w:r>
        <w:rPr>
          <w:rFonts w:hint="eastAsia" w:ascii="仿宋" w:hAnsi="仿宋" w:eastAsia="仿宋" w:cs="仿宋"/>
          <w:color w:val="auto"/>
          <w:sz w:val="28"/>
          <w:szCs w:val="28"/>
        </w:rPr>
        <w:t>、</w:t>
      </w:r>
      <w:r>
        <w:rPr>
          <w:rFonts w:hint="eastAsia" w:ascii="仿宋" w:hAnsi="仿宋" w:eastAsia="仿宋" w:cs="仿宋"/>
          <w:color w:val="auto"/>
          <w:kern w:val="2"/>
          <w:sz w:val="28"/>
          <w:szCs w:val="28"/>
          <w:lang w:val="en-US" w:eastAsia="zh-CN"/>
        </w:rPr>
        <w:t>2020年以来</w:t>
      </w:r>
      <w:r>
        <w:rPr>
          <w:rFonts w:hint="eastAsia" w:ascii="仿宋" w:hAnsi="仿宋" w:eastAsia="仿宋" w:cs="仿宋"/>
          <w:color w:val="auto"/>
          <w:kern w:val="2"/>
          <w:sz w:val="28"/>
          <w:szCs w:val="28"/>
        </w:rPr>
        <w:t>不少于</w:t>
      </w:r>
      <w:r>
        <w:rPr>
          <w:rFonts w:hint="eastAsia" w:ascii="仿宋" w:hAnsi="仿宋" w:eastAsia="仿宋" w:cs="仿宋"/>
          <w:color w:val="auto"/>
          <w:kern w:val="2"/>
          <w:sz w:val="28"/>
          <w:szCs w:val="28"/>
          <w:lang w:val="en-US" w:eastAsia="zh-CN"/>
        </w:rPr>
        <w:t>2</w:t>
      </w:r>
      <w:r>
        <w:rPr>
          <w:rFonts w:hint="eastAsia" w:ascii="仿宋" w:hAnsi="仿宋" w:eastAsia="仿宋" w:cs="仿宋"/>
          <w:color w:val="auto"/>
          <w:kern w:val="2"/>
          <w:sz w:val="28"/>
          <w:szCs w:val="28"/>
        </w:rPr>
        <w:t>项</w:t>
      </w:r>
      <w:r>
        <w:rPr>
          <w:rFonts w:hint="eastAsia" w:ascii="仿宋" w:hAnsi="仿宋" w:eastAsia="仿宋" w:cs="仿宋"/>
          <w:color w:val="auto"/>
          <w:kern w:val="2"/>
          <w:sz w:val="28"/>
          <w:szCs w:val="28"/>
          <w:lang w:eastAsia="zh-CN"/>
        </w:rPr>
        <w:t>工程基建类</w:t>
      </w:r>
      <w:r>
        <w:rPr>
          <w:rFonts w:hint="eastAsia" w:ascii="仿宋" w:hAnsi="仿宋" w:eastAsia="仿宋" w:cs="仿宋"/>
          <w:color w:val="auto"/>
          <w:kern w:val="2"/>
          <w:sz w:val="28"/>
          <w:szCs w:val="28"/>
        </w:rPr>
        <w:t>招标业绩证明资料（加盖公章的合同复印件）；</w:t>
      </w:r>
    </w:p>
    <w:p>
      <w:pPr>
        <w:pStyle w:val="2"/>
        <w:spacing w:line="52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6</w:t>
      </w:r>
      <w:r>
        <w:rPr>
          <w:rFonts w:hint="eastAsia" w:ascii="仿宋" w:hAnsi="仿宋" w:eastAsia="仿宋" w:cs="仿宋"/>
          <w:color w:val="auto"/>
          <w:sz w:val="28"/>
          <w:szCs w:val="28"/>
        </w:rPr>
        <w:t>、人员配备：拟投入本项目招标工作的专职人员不少于</w:t>
      </w:r>
      <w:r>
        <w:rPr>
          <w:rFonts w:ascii="仿宋" w:hAnsi="仿宋" w:eastAsia="仿宋" w:cs="仿宋"/>
          <w:color w:val="auto"/>
          <w:sz w:val="28"/>
          <w:szCs w:val="28"/>
        </w:rPr>
        <w:t>2</w:t>
      </w:r>
      <w:r>
        <w:rPr>
          <w:rFonts w:hint="eastAsia" w:ascii="仿宋" w:hAnsi="仿宋" w:eastAsia="仿宋" w:cs="仿宋"/>
          <w:color w:val="auto"/>
          <w:sz w:val="28"/>
          <w:szCs w:val="28"/>
        </w:rPr>
        <w:t>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2"/>
        <w:spacing w:line="52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7</w:t>
      </w:r>
      <w:r>
        <w:rPr>
          <w:rFonts w:hint="eastAsia" w:ascii="仿宋" w:hAnsi="仿宋" w:eastAsia="仿宋" w:cs="仿宋"/>
          <w:color w:val="auto"/>
          <w:sz w:val="28"/>
          <w:szCs w:val="28"/>
        </w:rPr>
        <w:t>、服务方案：</w:t>
      </w:r>
    </w:p>
    <w:p>
      <w:pPr>
        <w:spacing w:line="520" w:lineRule="exact"/>
        <w:ind w:firstLine="560" w:firstLineChars="200"/>
        <w:rPr>
          <w:rFonts w:ascii="仿宋" w:hAnsi="仿宋" w:eastAsia="仿宋" w:cs="仿宋"/>
          <w:color w:val="auto"/>
          <w:kern w:val="0"/>
          <w:sz w:val="28"/>
          <w:szCs w:val="28"/>
        </w:rPr>
      </w:pPr>
      <w:r>
        <w:rPr>
          <w:rFonts w:hint="eastAsia" w:ascii="仿宋" w:hAnsi="仿宋" w:eastAsia="仿宋" w:cs="仿宋"/>
          <w:color w:val="auto"/>
          <w:kern w:val="0"/>
          <w:sz w:val="28"/>
          <w:szCs w:val="28"/>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2"/>
        <w:numPr>
          <w:ilvl w:val="0"/>
          <w:numId w:val="2"/>
        </w:numPr>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代理工作要求：</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w:t>
      </w:r>
      <w:r>
        <w:rPr>
          <w:rFonts w:ascii="仿宋" w:hAnsi="仿宋" w:eastAsia="仿宋" w:cs="仿宋"/>
          <w:color w:val="auto"/>
          <w:sz w:val="28"/>
          <w:szCs w:val="28"/>
        </w:rPr>
        <w:t>1</w:t>
      </w:r>
      <w:r>
        <w:rPr>
          <w:rFonts w:hint="eastAsia" w:ascii="仿宋" w:hAnsi="仿宋" w:eastAsia="仿宋" w:cs="仿宋"/>
          <w:color w:val="auto"/>
          <w:sz w:val="28"/>
          <w:szCs w:val="28"/>
        </w:rPr>
        <w:t>）代理机构须承诺在本项目招标工作过程中遵守招投标相关规定能够公开、公平、公正、专业的从事本项目招标工作。</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w:t>
      </w:r>
      <w:r>
        <w:rPr>
          <w:rFonts w:ascii="仿宋" w:hAnsi="仿宋" w:eastAsia="仿宋" w:cs="仿宋"/>
          <w:color w:val="auto"/>
          <w:sz w:val="28"/>
          <w:szCs w:val="28"/>
        </w:rPr>
        <w:t>2</w:t>
      </w:r>
      <w:r>
        <w:rPr>
          <w:rFonts w:hint="eastAsia" w:ascii="仿宋" w:hAnsi="仿宋" w:eastAsia="仿宋" w:cs="仿宋"/>
          <w:color w:val="auto"/>
          <w:sz w:val="28"/>
          <w:szCs w:val="28"/>
        </w:rPr>
        <w:t>）代理机构须承诺合理规划招标工作的服务响应时间，做到如下招标工作的响应时限要求：</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编制招标文件时限要求：接到业主通知</w:t>
      </w:r>
      <w:r>
        <w:rPr>
          <w:rFonts w:ascii="仿宋" w:hAnsi="仿宋" w:eastAsia="仿宋" w:cs="仿宋"/>
          <w:color w:val="auto"/>
          <w:sz w:val="28"/>
          <w:szCs w:val="28"/>
        </w:rPr>
        <w:t>5</w:t>
      </w:r>
      <w:r>
        <w:rPr>
          <w:rFonts w:hint="eastAsia" w:ascii="仿宋" w:hAnsi="仿宋" w:eastAsia="仿宋" w:cs="仿宋"/>
          <w:color w:val="auto"/>
          <w:sz w:val="28"/>
          <w:szCs w:val="28"/>
        </w:rPr>
        <w:t>个工作日内完成；</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招标相关资料审查报备时限要求：</w:t>
      </w:r>
      <w:r>
        <w:rPr>
          <w:rFonts w:ascii="仿宋" w:hAnsi="仿宋" w:eastAsia="仿宋" w:cs="仿宋"/>
          <w:color w:val="auto"/>
          <w:sz w:val="28"/>
          <w:szCs w:val="28"/>
        </w:rPr>
        <w:t>3</w:t>
      </w:r>
      <w:r>
        <w:rPr>
          <w:rFonts w:hint="eastAsia" w:ascii="仿宋" w:hAnsi="仿宋" w:eastAsia="仿宋" w:cs="仿宋"/>
          <w:color w:val="auto"/>
          <w:sz w:val="28"/>
          <w:szCs w:val="28"/>
        </w:rPr>
        <w:t>个工作日内完成；</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递交招标汇编资料时限要求：开标后</w:t>
      </w:r>
      <w:r>
        <w:rPr>
          <w:rFonts w:ascii="仿宋" w:hAnsi="仿宋" w:eastAsia="仿宋" w:cs="仿宋"/>
          <w:color w:val="auto"/>
          <w:sz w:val="28"/>
          <w:szCs w:val="28"/>
        </w:rPr>
        <w:t>5</w:t>
      </w:r>
      <w:r>
        <w:rPr>
          <w:rFonts w:hint="eastAsia" w:ascii="仿宋" w:hAnsi="仿宋" w:eastAsia="仿宋" w:cs="仿宋"/>
          <w:color w:val="auto"/>
          <w:sz w:val="28"/>
          <w:szCs w:val="28"/>
        </w:rPr>
        <w:t>个工作日内完成。</w:t>
      </w:r>
    </w:p>
    <w:p>
      <w:pPr>
        <w:pStyle w:val="2"/>
        <w:spacing w:line="520" w:lineRule="exact"/>
        <w:ind w:firstLine="560" w:firstLineChars="200"/>
        <w:rPr>
          <w:rFonts w:ascii="仿宋" w:hAnsi="仿宋" w:eastAsia="仿宋" w:cs="仿宋"/>
          <w:b/>
          <w:color w:val="auto"/>
          <w:sz w:val="28"/>
          <w:szCs w:val="28"/>
        </w:rPr>
      </w:pPr>
      <w:r>
        <w:rPr>
          <w:rFonts w:hint="eastAsia" w:ascii="仿宋" w:hAnsi="仿宋" w:eastAsia="仿宋" w:cs="仿宋"/>
          <w:color w:val="auto"/>
          <w:sz w:val="28"/>
          <w:szCs w:val="28"/>
        </w:rPr>
        <w:t>9、报价表（原件，格式详见附件）：</w:t>
      </w:r>
      <w:r>
        <w:rPr>
          <w:rFonts w:hint="eastAsia" w:ascii="仿宋" w:hAnsi="仿宋" w:eastAsia="仿宋" w:cs="仿宋"/>
          <w:b/>
          <w:color w:val="auto"/>
          <w:sz w:val="28"/>
          <w:szCs w:val="28"/>
        </w:rPr>
        <w:t>招标代理收费标准参照财政局下发洛财购【</w:t>
      </w:r>
      <w:r>
        <w:rPr>
          <w:rFonts w:ascii="仿宋" w:hAnsi="仿宋" w:eastAsia="仿宋" w:cs="仿宋"/>
          <w:b/>
          <w:color w:val="auto"/>
          <w:sz w:val="28"/>
          <w:szCs w:val="28"/>
        </w:rPr>
        <w:t>2019</w:t>
      </w:r>
      <w:r>
        <w:rPr>
          <w:rFonts w:hint="eastAsia" w:ascii="仿宋" w:hAnsi="仿宋" w:eastAsia="仿宋" w:cs="仿宋"/>
          <w:b/>
          <w:color w:val="auto"/>
          <w:sz w:val="28"/>
          <w:szCs w:val="28"/>
        </w:rPr>
        <w:t>】</w:t>
      </w:r>
      <w:r>
        <w:rPr>
          <w:rFonts w:ascii="仿宋" w:hAnsi="仿宋" w:eastAsia="仿宋" w:cs="仿宋"/>
          <w:b/>
          <w:color w:val="auto"/>
          <w:sz w:val="28"/>
          <w:szCs w:val="28"/>
        </w:rPr>
        <w:t>3</w:t>
      </w:r>
      <w:r>
        <w:rPr>
          <w:rFonts w:hint="eastAsia" w:ascii="仿宋" w:hAnsi="仿宋" w:eastAsia="仿宋" w:cs="仿宋"/>
          <w:b/>
          <w:color w:val="auto"/>
          <w:sz w:val="28"/>
          <w:szCs w:val="28"/>
        </w:rPr>
        <w:t>号文标准，报招标代理服务收费优惠率。</w:t>
      </w:r>
    </w:p>
    <w:p>
      <w:pPr>
        <w:pStyle w:val="2"/>
        <w:spacing w:line="520" w:lineRule="exact"/>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三、申请人有下列情形之一的将否定本次遴选资审：</w:t>
      </w:r>
    </w:p>
    <w:p>
      <w:pPr>
        <w:pStyle w:val="2"/>
        <w:spacing w:line="52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1</w:t>
      </w:r>
      <w:r>
        <w:rPr>
          <w:rFonts w:hint="eastAsia" w:ascii="仿宋" w:hAnsi="仿宋" w:eastAsia="仿宋" w:cs="仿宋"/>
          <w:color w:val="auto"/>
          <w:sz w:val="28"/>
          <w:szCs w:val="28"/>
        </w:rPr>
        <w:t>、被依法取消经营资格的；</w:t>
      </w:r>
    </w:p>
    <w:p>
      <w:pPr>
        <w:pStyle w:val="2"/>
        <w:spacing w:line="52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2</w:t>
      </w:r>
      <w:r>
        <w:rPr>
          <w:rFonts w:hint="eastAsia" w:ascii="仿宋" w:hAnsi="仿宋" w:eastAsia="仿宋" w:cs="仿宋"/>
          <w:color w:val="auto"/>
          <w:sz w:val="28"/>
          <w:szCs w:val="28"/>
        </w:rPr>
        <w:t>、被依法责令停业且在处罚期内的；</w:t>
      </w:r>
    </w:p>
    <w:p>
      <w:pPr>
        <w:pStyle w:val="2"/>
        <w:spacing w:line="52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3</w:t>
      </w:r>
      <w:r>
        <w:rPr>
          <w:rFonts w:hint="eastAsia" w:ascii="仿宋" w:hAnsi="仿宋" w:eastAsia="仿宋" w:cs="仿宋"/>
          <w:color w:val="auto"/>
          <w:sz w:val="28"/>
          <w:szCs w:val="28"/>
        </w:rPr>
        <w:t>、财产依法被接管、冻结的；</w:t>
      </w:r>
    </w:p>
    <w:p>
      <w:pPr>
        <w:pStyle w:val="2"/>
        <w:spacing w:line="52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4</w:t>
      </w:r>
      <w:r>
        <w:rPr>
          <w:rFonts w:hint="eastAsia" w:ascii="仿宋" w:hAnsi="仿宋" w:eastAsia="仿宋" w:cs="仿宋"/>
          <w:color w:val="auto"/>
          <w:sz w:val="28"/>
          <w:szCs w:val="28"/>
        </w:rPr>
        <w:t>、涂改、出租、出借、转让资格证书的；</w:t>
      </w:r>
    </w:p>
    <w:p>
      <w:pPr>
        <w:pStyle w:val="2"/>
        <w:spacing w:line="52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5</w:t>
      </w:r>
      <w:r>
        <w:rPr>
          <w:rFonts w:hint="eastAsia" w:ascii="仿宋" w:hAnsi="仿宋" w:eastAsia="仿宋" w:cs="仿宋"/>
          <w:color w:val="auto"/>
          <w:sz w:val="28"/>
          <w:szCs w:val="28"/>
        </w:rPr>
        <w:t>、近两年因弄虚作假行为，受到行政或者刑事处罚的；</w:t>
      </w:r>
    </w:p>
    <w:p>
      <w:pPr>
        <w:pStyle w:val="2"/>
        <w:spacing w:line="52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6</w:t>
      </w:r>
      <w:r>
        <w:rPr>
          <w:rFonts w:hint="eastAsia" w:ascii="仿宋" w:hAnsi="仿宋" w:eastAsia="仿宋" w:cs="仿宋"/>
          <w:color w:val="auto"/>
          <w:sz w:val="28"/>
          <w:szCs w:val="28"/>
        </w:rPr>
        <w:t>、近两年被交通建设领域有过不良举报、串标等不良行为。</w:t>
      </w:r>
    </w:p>
    <w:p>
      <w:pPr>
        <w:pStyle w:val="2"/>
        <w:spacing w:line="520" w:lineRule="exact"/>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四、报名与遴选文件获取</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1.时间：202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日8时30分至202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日18时00分；</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2.地点：洛阳市</w:t>
      </w:r>
      <w:r>
        <w:rPr>
          <w:rFonts w:hint="eastAsia" w:ascii="仿宋" w:hAnsi="仿宋" w:eastAsia="仿宋" w:cs="仿宋"/>
          <w:color w:val="auto"/>
          <w:sz w:val="28"/>
          <w:szCs w:val="28"/>
          <w:lang w:eastAsia="zh-CN"/>
        </w:rPr>
        <w:t>交通</w:t>
      </w:r>
      <w:r>
        <w:rPr>
          <w:rFonts w:hint="eastAsia" w:ascii="仿宋" w:hAnsi="仿宋" w:eastAsia="仿宋" w:cs="仿宋"/>
          <w:color w:val="auto"/>
          <w:sz w:val="28"/>
          <w:szCs w:val="28"/>
        </w:rPr>
        <w:t>事业发展中心702室；</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3.遴选文件获取方式：报名后领取遴选文件。</w:t>
      </w:r>
    </w:p>
    <w:p>
      <w:pPr>
        <w:pStyle w:val="2"/>
        <w:spacing w:line="520" w:lineRule="exact"/>
        <w:ind w:firstLine="560" w:firstLineChars="200"/>
        <w:rPr>
          <w:rFonts w:ascii="仿宋" w:hAnsi="仿宋" w:eastAsia="仿宋" w:cs="仿宋"/>
          <w:color w:val="auto"/>
          <w:sz w:val="28"/>
          <w:szCs w:val="28"/>
        </w:rPr>
      </w:pPr>
      <w:r>
        <w:rPr>
          <w:rFonts w:ascii="仿宋" w:hAnsi="仿宋" w:eastAsia="仿宋" w:cs="仿宋"/>
          <w:color w:val="auto"/>
          <w:sz w:val="28"/>
          <w:szCs w:val="28"/>
        </w:rPr>
        <w:t>报名时须</w:t>
      </w:r>
      <w:r>
        <w:rPr>
          <w:rFonts w:hint="eastAsia" w:ascii="仿宋" w:hAnsi="仿宋" w:eastAsia="仿宋" w:cs="仿宋"/>
          <w:color w:val="auto"/>
          <w:sz w:val="28"/>
          <w:szCs w:val="28"/>
        </w:rPr>
        <w:t>携带：①</w:t>
      </w:r>
      <w:r>
        <w:rPr>
          <w:rFonts w:ascii="仿宋" w:hAnsi="仿宋" w:eastAsia="仿宋" w:cs="仿宋"/>
          <w:color w:val="auto"/>
          <w:sz w:val="28"/>
          <w:szCs w:val="28"/>
        </w:rPr>
        <w:t>法定代表人本人身份证或授权代理人携带本人身份证及授权委托书</w:t>
      </w:r>
      <w:r>
        <w:rPr>
          <w:rFonts w:hint="eastAsia" w:ascii="仿宋" w:hAnsi="仿宋" w:eastAsia="仿宋" w:cs="仿宋"/>
          <w:color w:val="auto"/>
          <w:sz w:val="28"/>
          <w:szCs w:val="28"/>
        </w:rPr>
        <w:t>（</w:t>
      </w:r>
      <w:r>
        <w:rPr>
          <w:rFonts w:ascii="仿宋" w:hAnsi="仿宋" w:eastAsia="仿宋" w:cs="仿宋"/>
          <w:color w:val="auto"/>
          <w:sz w:val="28"/>
          <w:szCs w:val="28"/>
        </w:rPr>
        <w:t>原件</w:t>
      </w:r>
      <w:r>
        <w:rPr>
          <w:rFonts w:hint="eastAsia" w:ascii="仿宋" w:hAnsi="仿宋" w:eastAsia="仿宋" w:cs="仿宋"/>
          <w:color w:val="auto"/>
          <w:sz w:val="28"/>
          <w:szCs w:val="28"/>
        </w:rPr>
        <w:t>）、②</w:t>
      </w:r>
      <w:r>
        <w:rPr>
          <w:rFonts w:ascii="仿宋" w:hAnsi="仿宋" w:eastAsia="仿宋" w:cs="仿宋"/>
          <w:color w:val="auto"/>
          <w:sz w:val="28"/>
          <w:szCs w:val="28"/>
        </w:rPr>
        <w:t>营业执照、税务登记、组织机构代码证（或三证合一）</w:t>
      </w:r>
      <w:r>
        <w:rPr>
          <w:rFonts w:hint="eastAsia" w:ascii="仿宋" w:hAnsi="仿宋" w:eastAsia="仿宋" w:cs="仿宋"/>
          <w:color w:val="auto"/>
          <w:sz w:val="28"/>
          <w:szCs w:val="28"/>
        </w:rPr>
        <w:t>原件</w:t>
      </w:r>
      <w:r>
        <w:rPr>
          <w:rFonts w:hint="eastAsia" w:ascii="仿宋" w:hAnsi="仿宋" w:eastAsia="仿宋" w:cs="仿宋"/>
          <w:color w:val="auto"/>
          <w:sz w:val="28"/>
          <w:szCs w:val="28"/>
          <w:lang w:eastAsia="zh-CN"/>
        </w:rPr>
        <w:t>或复印件加盖公章</w:t>
      </w:r>
      <w:r>
        <w:rPr>
          <w:rFonts w:hint="eastAsia" w:ascii="仿宋" w:hAnsi="仿宋" w:eastAsia="仿宋" w:cs="仿宋"/>
          <w:color w:val="auto"/>
          <w:sz w:val="28"/>
          <w:szCs w:val="28"/>
        </w:rPr>
        <w:t>。</w:t>
      </w:r>
    </w:p>
    <w:p>
      <w:pPr>
        <w:pStyle w:val="2"/>
        <w:spacing w:line="520" w:lineRule="exact"/>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五、遴选响应文件的递交及开标</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1.递交响应文件的截止时间(开标时间):202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24</w:t>
      </w:r>
      <w:r>
        <w:rPr>
          <w:rFonts w:hint="eastAsia" w:ascii="仿宋" w:hAnsi="仿宋" w:eastAsia="仿宋" w:cs="仿宋"/>
          <w:color w:val="auto"/>
          <w:sz w:val="28"/>
          <w:szCs w:val="28"/>
        </w:rPr>
        <w:t>日</w:t>
      </w:r>
      <w:r>
        <w:rPr>
          <w:rFonts w:hint="eastAsia" w:ascii="仿宋" w:hAnsi="仿宋" w:eastAsia="仿宋" w:cs="仿宋"/>
          <w:color w:val="auto"/>
          <w:sz w:val="28"/>
          <w:szCs w:val="28"/>
          <w:lang w:val="en-US" w:eastAsia="zh-CN"/>
        </w:rPr>
        <w:t>9</w:t>
      </w:r>
      <w:r>
        <w:rPr>
          <w:rFonts w:hint="eastAsia" w:ascii="仿宋" w:hAnsi="仿宋" w:eastAsia="仿宋" w:cs="仿宋"/>
          <w:color w:val="auto"/>
          <w:sz w:val="28"/>
          <w:szCs w:val="28"/>
        </w:rPr>
        <w:t>时</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0分；</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2.地点：洛阳市</w:t>
      </w:r>
      <w:r>
        <w:rPr>
          <w:rFonts w:hint="eastAsia" w:ascii="仿宋" w:hAnsi="仿宋" w:eastAsia="仿宋" w:cs="仿宋"/>
          <w:color w:val="auto"/>
          <w:sz w:val="28"/>
          <w:szCs w:val="28"/>
          <w:lang w:eastAsia="zh-CN"/>
        </w:rPr>
        <w:t>交通</w:t>
      </w:r>
      <w:r>
        <w:rPr>
          <w:rFonts w:hint="eastAsia" w:ascii="仿宋" w:hAnsi="仿宋" w:eastAsia="仿宋" w:cs="仿宋"/>
          <w:color w:val="auto"/>
          <w:sz w:val="28"/>
          <w:szCs w:val="28"/>
        </w:rPr>
        <w:t>事业发展中心（涧西区南昌路172号）</w:t>
      </w:r>
      <w:r>
        <w:rPr>
          <w:rFonts w:hint="eastAsia" w:ascii="仿宋" w:hAnsi="仿宋" w:eastAsia="仿宋" w:cs="仿宋"/>
          <w:color w:val="auto"/>
          <w:sz w:val="28"/>
          <w:szCs w:val="28"/>
          <w:lang w:val="en-US" w:eastAsia="zh-CN"/>
        </w:rPr>
        <w:t>615</w:t>
      </w:r>
      <w:r>
        <w:rPr>
          <w:rFonts w:hint="eastAsia" w:ascii="仿宋" w:hAnsi="仿宋" w:eastAsia="仿宋" w:cs="仿宋"/>
          <w:color w:val="auto"/>
          <w:sz w:val="28"/>
          <w:szCs w:val="28"/>
        </w:rPr>
        <w:t>会议室。</w:t>
      </w:r>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已报名的单位递交相关遴选响应纸质文件（包括正本1份，副本2份），参与遴选的单位对递交资料的合法性、真实性、完整性、准确性负法律责任。</w:t>
      </w:r>
    </w:p>
    <w:p>
      <w:pPr>
        <w:pStyle w:val="2"/>
        <w:spacing w:line="520" w:lineRule="exact"/>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六、评审办法</w:t>
      </w:r>
      <w:bookmarkStart w:id="0" w:name="_Toc14801"/>
    </w:p>
    <w:p>
      <w:pPr>
        <w:pStyle w:val="2"/>
        <w:spacing w:line="52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本次遴选采用综合评分法，中心法审科全程监督招标代理遴选工作程序及纪律；遴选评审工作当天将从洛阳市</w:t>
      </w:r>
      <w:r>
        <w:rPr>
          <w:rFonts w:hint="eastAsia" w:ascii="仿宋" w:hAnsi="仿宋" w:eastAsia="仿宋" w:cs="仿宋"/>
          <w:color w:val="auto"/>
          <w:sz w:val="28"/>
          <w:szCs w:val="28"/>
          <w:lang w:eastAsia="zh-CN"/>
        </w:rPr>
        <w:t>交通</w:t>
      </w:r>
      <w:r>
        <w:rPr>
          <w:rFonts w:hint="eastAsia" w:ascii="仿宋" w:hAnsi="仿宋" w:eastAsia="仿宋" w:cs="仿宋"/>
          <w:color w:val="auto"/>
          <w:sz w:val="28"/>
          <w:szCs w:val="28"/>
        </w:rPr>
        <w:t>事业发展中心专家库中随机抽取3名成员组成评审小组，评审小组根据评审办法进行打分，招标代理的实得分以3名专家打分的平均值（保留两位小数）为准，按得分由高到低顺序进行排名，选定第一名为最终成交单位，综合评分相等时，以招标代理费报价较低的中标。评审办法详细内容如下表：</w:t>
      </w:r>
    </w:p>
    <w:p>
      <w:pPr>
        <w:pStyle w:val="2"/>
        <w:spacing w:line="420" w:lineRule="exact"/>
        <w:jc w:val="center"/>
        <w:rPr>
          <w:rFonts w:cs="宋体"/>
          <w:b/>
          <w:bCs/>
          <w:color w:val="auto"/>
        </w:rPr>
      </w:pPr>
    </w:p>
    <w:p>
      <w:pPr>
        <w:rPr>
          <w:rFonts w:cs="宋体"/>
          <w:b/>
          <w:bCs/>
          <w:color w:val="auto"/>
        </w:rPr>
      </w:pPr>
      <w:r>
        <w:rPr>
          <w:rFonts w:hint="eastAsia" w:cs="宋体"/>
          <w:b/>
          <w:bCs/>
          <w:color w:val="auto"/>
        </w:rPr>
        <w:br w:type="page"/>
      </w:r>
    </w:p>
    <w:p>
      <w:pPr>
        <w:pStyle w:val="2"/>
        <w:spacing w:line="420" w:lineRule="exact"/>
        <w:jc w:val="center"/>
        <w:rPr>
          <w:color w:val="auto"/>
        </w:rPr>
      </w:pPr>
      <w:r>
        <w:rPr>
          <w:rFonts w:hint="eastAsia" w:cs="宋体"/>
          <w:b/>
          <w:bCs/>
          <w:color w:val="auto"/>
        </w:rPr>
        <w:t>招标代理机构遴选详细评审表</w:t>
      </w:r>
    </w:p>
    <w:tbl>
      <w:tblPr>
        <w:tblStyle w:val="7"/>
        <w:tblW w:w="10499" w:type="dxa"/>
        <w:jc w:val="center"/>
        <w:tblLayout w:type="autofit"/>
        <w:tblCellMar>
          <w:top w:w="0" w:type="dxa"/>
          <w:left w:w="108" w:type="dxa"/>
          <w:bottom w:w="0" w:type="dxa"/>
          <w:right w:w="108" w:type="dxa"/>
        </w:tblCellMar>
      </w:tblPr>
      <w:tblGrid>
        <w:gridCol w:w="788"/>
        <w:gridCol w:w="1870"/>
        <w:gridCol w:w="6840"/>
        <w:gridCol w:w="1001"/>
      </w:tblGrid>
      <w:tr>
        <w:tblPrEx>
          <w:tblCellMar>
            <w:top w:w="0" w:type="dxa"/>
            <w:left w:w="108" w:type="dxa"/>
            <w:bottom w:w="0" w:type="dxa"/>
            <w:right w:w="108" w:type="dxa"/>
          </w:tblCellMar>
        </w:tblPrEx>
        <w:trPr>
          <w:trHeight w:val="454" w:hRule="atLeast"/>
          <w:jc w:val="center"/>
        </w:trPr>
        <w:tc>
          <w:tcPr>
            <w:tcW w:w="78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b/>
                <w:bCs/>
                <w:color w:val="auto"/>
                <w:kern w:val="0"/>
                <w:sz w:val="24"/>
              </w:rPr>
            </w:pPr>
            <w:r>
              <w:rPr>
                <w:rFonts w:hint="eastAsia" w:ascii="仿宋" w:hAnsi="仿宋" w:eastAsia="仿宋" w:cs="宋体"/>
                <w:b/>
                <w:bCs/>
                <w:color w:val="auto"/>
                <w:kern w:val="0"/>
                <w:sz w:val="24"/>
              </w:rPr>
              <w:t>序号</w:t>
            </w:r>
          </w:p>
        </w:tc>
        <w:tc>
          <w:tcPr>
            <w:tcW w:w="187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b/>
                <w:bCs/>
                <w:color w:val="auto"/>
                <w:kern w:val="0"/>
                <w:sz w:val="24"/>
              </w:rPr>
            </w:pPr>
            <w:r>
              <w:rPr>
                <w:rFonts w:hint="eastAsia" w:ascii="仿宋" w:hAnsi="仿宋" w:eastAsia="仿宋" w:cs="宋体"/>
                <w:b/>
                <w:bCs/>
                <w:color w:val="auto"/>
                <w:kern w:val="0"/>
                <w:sz w:val="24"/>
              </w:rPr>
              <w:t>评分项</w:t>
            </w:r>
          </w:p>
        </w:tc>
        <w:tc>
          <w:tcPr>
            <w:tcW w:w="6840"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b/>
                <w:bCs/>
                <w:color w:val="auto"/>
                <w:kern w:val="0"/>
                <w:sz w:val="24"/>
              </w:rPr>
            </w:pPr>
            <w:r>
              <w:rPr>
                <w:rFonts w:hint="eastAsia" w:ascii="仿宋" w:hAnsi="仿宋" w:eastAsia="仿宋" w:cs="宋体"/>
                <w:b/>
                <w:bCs/>
                <w:color w:val="auto"/>
                <w:kern w:val="0"/>
                <w:sz w:val="24"/>
              </w:rPr>
              <w:t>评审因素</w:t>
            </w:r>
          </w:p>
        </w:tc>
        <w:tc>
          <w:tcPr>
            <w:tcW w:w="100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b/>
                <w:bCs/>
                <w:color w:val="auto"/>
                <w:kern w:val="0"/>
                <w:sz w:val="24"/>
              </w:rPr>
            </w:pPr>
            <w:r>
              <w:rPr>
                <w:rFonts w:hint="eastAsia" w:ascii="仿宋" w:hAnsi="仿宋" w:eastAsia="仿宋" w:cs="宋体"/>
                <w:b/>
                <w:bCs/>
                <w:color w:val="auto"/>
                <w:kern w:val="0"/>
                <w:sz w:val="24"/>
              </w:rPr>
              <w:t>得分</w:t>
            </w:r>
          </w:p>
        </w:tc>
      </w:tr>
      <w:tr>
        <w:tblPrEx>
          <w:tblCellMar>
            <w:top w:w="0" w:type="dxa"/>
            <w:left w:w="108" w:type="dxa"/>
            <w:bottom w:w="0" w:type="dxa"/>
            <w:right w:w="108" w:type="dxa"/>
          </w:tblCellMar>
        </w:tblPrEx>
        <w:trPr>
          <w:trHeight w:val="565" w:hRule="atLeast"/>
          <w:jc w:val="center"/>
        </w:trPr>
        <w:tc>
          <w:tcPr>
            <w:tcW w:w="788" w:type="dxa"/>
            <w:vMerge w:val="restart"/>
            <w:tcBorders>
              <w:top w:val="nil"/>
              <w:left w:val="single" w:color="auto"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r>
              <w:rPr>
                <w:rFonts w:ascii="仿宋" w:hAnsi="仿宋" w:eastAsia="仿宋" w:cs="宋体"/>
                <w:color w:val="auto"/>
                <w:kern w:val="0"/>
                <w:sz w:val="24"/>
              </w:rPr>
              <w:t>1</w:t>
            </w:r>
          </w:p>
        </w:tc>
        <w:tc>
          <w:tcPr>
            <w:tcW w:w="1870" w:type="dxa"/>
            <w:vMerge w:val="restart"/>
            <w:tcBorders>
              <w:top w:val="nil"/>
              <w:left w:val="single" w:color="auto" w:sz="4" w:space="0"/>
              <w:right w:val="single" w:color="auto" w:sz="4" w:space="0"/>
            </w:tcBorders>
            <w:noWrap/>
            <w:vAlign w:val="center"/>
          </w:tcPr>
          <w:p>
            <w:pPr>
              <w:widowControl/>
              <w:spacing w:line="360" w:lineRule="auto"/>
              <w:jc w:val="center"/>
              <w:rPr>
                <w:rFonts w:ascii="仿宋" w:hAnsi="仿宋" w:eastAsia="仿宋" w:cs="宋体"/>
                <w:color w:val="auto"/>
                <w:spacing w:val="-10"/>
                <w:kern w:val="0"/>
                <w:sz w:val="24"/>
              </w:rPr>
            </w:pPr>
            <w:r>
              <w:rPr>
                <w:rFonts w:hint="eastAsia" w:ascii="仿宋" w:hAnsi="仿宋" w:eastAsia="仿宋" w:cs="宋体"/>
                <w:color w:val="auto"/>
                <w:spacing w:val="-10"/>
                <w:kern w:val="0"/>
                <w:sz w:val="24"/>
              </w:rPr>
              <w:t>企业资信（</w:t>
            </w:r>
            <w:r>
              <w:rPr>
                <w:rFonts w:ascii="仿宋" w:hAnsi="仿宋" w:eastAsia="仿宋" w:cs="宋体"/>
                <w:color w:val="auto"/>
                <w:spacing w:val="-10"/>
                <w:kern w:val="0"/>
                <w:sz w:val="24"/>
              </w:rPr>
              <w:t>2</w:t>
            </w:r>
            <w:r>
              <w:rPr>
                <w:rFonts w:hint="eastAsia" w:ascii="仿宋" w:hAnsi="仿宋" w:eastAsia="仿宋" w:cs="宋体"/>
                <w:color w:val="auto"/>
                <w:spacing w:val="-10"/>
                <w:kern w:val="0"/>
                <w:sz w:val="24"/>
              </w:rPr>
              <w:t>5）</w:t>
            </w:r>
          </w:p>
        </w:tc>
        <w:tc>
          <w:tcPr>
            <w:tcW w:w="6840" w:type="dxa"/>
            <w:tcBorders>
              <w:top w:val="nil"/>
              <w:left w:val="nil"/>
              <w:bottom w:val="single" w:color="auto" w:sz="4" w:space="0"/>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r>
              <w:rPr>
                <w:rFonts w:hint="eastAsia" w:ascii="仿宋" w:hAnsi="仿宋" w:eastAsia="仿宋" w:cs="宋体"/>
                <w:color w:val="auto"/>
                <w:spacing w:val="-10"/>
                <w:kern w:val="0"/>
                <w:sz w:val="24"/>
              </w:rPr>
              <w:t>须具有独立承担民事责任的能力，具有有效的营业执照、税务登记证、组织机构代码证（或三证合一证件）；满足条件得10分。</w:t>
            </w:r>
          </w:p>
        </w:tc>
        <w:tc>
          <w:tcPr>
            <w:tcW w:w="1001" w:type="dxa"/>
            <w:tcBorders>
              <w:top w:val="nil"/>
              <w:left w:val="nil"/>
              <w:bottom w:val="single" w:color="auto" w:sz="4" w:space="0"/>
              <w:right w:val="single" w:color="auto" w:sz="4" w:space="0"/>
            </w:tcBorders>
            <w:noWrap/>
            <w:vAlign w:val="center"/>
          </w:tcPr>
          <w:p>
            <w:pPr>
              <w:widowControl/>
              <w:spacing w:line="360" w:lineRule="auto"/>
              <w:jc w:val="center"/>
              <w:rPr>
                <w:rFonts w:ascii="仿宋" w:hAnsi="仿宋" w:eastAsia="仿宋" w:cs="宋体"/>
                <w:b/>
                <w:bCs/>
                <w:color w:val="auto"/>
                <w:kern w:val="0"/>
                <w:sz w:val="24"/>
              </w:rPr>
            </w:pP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415" w:hRule="atLeast"/>
          <w:jc w:val="center"/>
        </w:trPr>
        <w:tc>
          <w:tcPr>
            <w:tcW w:w="788" w:type="dxa"/>
            <w:vMerge w:val="continue"/>
            <w:tcBorders>
              <w:left w:val="single" w:color="auto" w:sz="4" w:space="0"/>
              <w:right w:val="single" w:color="auto" w:sz="4" w:space="0"/>
            </w:tcBorders>
            <w:noWrap/>
            <w:vAlign w:val="center"/>
          </w:tcPr>
          <w:p>
            <w:pPr>
              <w:widowControl/>
              <w:spacing w:line="360" w:lineRule="auto"/>
              <w:jc w:val="left"/>
              <w:rPr>
                <w:rFonts w:ascii="仿宋" w:hAnsi="仿宋" w:eastAsia="仿宋" w:cs="宋体"/>
                <w:color w:val="auto"/>
                <w:kern w:val="0"/>
                <w:sz w:val="24"/>
              </w:rPr>
            </w:pPr>
          </w:p>
        </w:tc>
        <w:tc>
          <w:tcPr>
            <w:tcW w:w="1870" w:type="dxa"/>
            <w:vMerge w:val="continue"/>
            <w:tcBorders>
              <w:left w:val="single" w:color="auto" w:sz="4" w:space="0"/>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p>
        </w:tc>
        <w:tc>
          <w:tcPr>
            <w:tcW w:w="6840" w:type="dxa"/>
            <w:tcBorders>
              <w:top w:val="nil"/>
              <w:left w:val="nil"/>
              <w:bottom w:val="single" w:color="auto" w:sz="4" w:space="0"/>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r>
              <w:rPr>
                <w:rFonts w:hint="eastAsia" w:ascii="仿宋" w:hAnsi="仿宋" w:eastAsia="仿宋" w:cs="宋体"/>
                <w:color w:val="auto"/>
                <w:spacing w:val="-10"/>
                <w:kern w:val="0"/>
                <w:sz w:val="24"/>
              </w:rPr>
              <w:t>须在中国招标投标公共服务平台、河南省电子招标投标公共服务平台、 洛阳市政府采购网和洛阳市公共资源交易中心网站登记备案，</w:t>
            </w:r>
            <w:r>
              <w:rPr>
                <w:rFonts w:hint="eastAsia" w:ascii="仿宋" w:hAnsi="仿宋" w:eastAsia="仿宋" w:cs="宋体"/>
                <w:color w:val="auto"/>
                <w:spacing w:val="-16"/>
                <w:kern w:val="0"/>
                <w:sz w:val="24"/>
              </w:rPr>
              <w:t>每提供一个登记备案资料得</w:t>
            </w:r>
            <w:r>
              <w:rPr>
                <w:rFonts w:ascii="仿宋" w:hAnsi="仿宋" w:eastAsia="仿宋" w:cs="宋体"/>
                <w:color w:val="auto"/>
                <w:spacing w:val="-16"/>
                <w:kern w:val="0"/>
                <w:sz w:val="24"/>
              </w:rPr>
              <w:t>2</w:t>
            </w:r>
            <w:r>
              <w:rPr>
                <w:rFonts w:hint="eastAsia" w:ascii="仿宋" w:hAnsi="仿宋" w:eastAsia="仿宋" w:cs="宋体"/>
                <w:color w:val="auto"/>
                <w:spacing w:val="-16"/>
                <w:kern w:val="0"/>
                <w:sz w:val="24"/>
              </w:rPr>
              <w:t>.5分，最多</w:t>
            </w:r>
            <w:r>
              <w:rPr>
                <w:rFonts w:hint="eastAsia" w:ascii="仿宋" w:hAnsi="仿宋" w:eastAsia="仿宋" w:cs="宋体"/>
                <w:color w:val="auto"/>
                <w:spacing w:val="-10"/>
                <w:kern w:val="0"/>
                <w:sz w:val="24"/>
              </w:rPr>
              <w:t>得</w:t>
            </w:r>
            <w:r>
              <w:rPr>
                <w:rFonts w:ascii="仿宋" w:hAnsi="仿宋" w:eastAsia="仿宋" w:cs="宋体"/>
                <w:color w:val="auto"/>
                <w:spacing w:val="-10"/>
                <w:kern w:val="0"/>
                <w:sz w:val="24"/>
              </w:rPr>
              <w:t>10</w:t>
            </w:r>
            <w:r>
              <w:rPr>
                <w:rFonts w:hint="eastAsia" w:ascii="仿宋" w:hAnsi="仿宋" w:eastAsia="仿宋" w:cs="宋体"/>
                <w:color w:val="auto"/>
                <w:spacing w:val="-10"/>
                <w:kern w:val="0"/>
                <w:sz w:val="24"/>
              </w:rPr>
              <w:t>分。</w:t>
            </w:r>
          </w:p>
        </w:tc>
        <w:tc>
          <w:tcPr>
            <w:tcW w:w="1001" w:type="dxa"/>
            <w:tcBorders>
              <w:top w:val="nil"/>
              <w:left w:val="nil"/>
              <w:bottom w:val="single" w:color="auto" w:sz="4" w:space="0"/>
              <w:right w:val="single" w:color="auto" w:sz="4" w:space="0"/>
            </w:tcBorders>
            <w:noWrap/>
            <w:vAlign w:val="center"/>
          </w:tcPr>
          <w:p>
            <w:pPr>
              <w:widowControl/>
              <w:spacing w:line="360" w:lineRule="auto"/>
              <w:jc w:val="center"/>
              <w:rPr>
                <w:rFonts w:ascii="仿宋" w:hAnsi="仿宋" w:eastAsia="仿宋" w:cs="宋体"/>
                <w:b/>
                <w:bCs/>
                <w:color w:val="auto"/>
                <w:kern w:val="0"/>
                <w:sz w:val="24"/>
              </w:rPr>
            </w:pPr>
            <w:r>
              <w:rPr>
                <w:rFonts w:hint="eastAsia" w:ascii="仿宋" w:hAnsi="仿宋" w:eastAsia="仿宋" w:cs="宋体"/>
                <w:b/>
                <w:bCs/>
                <w:color w:val="auto"/>
                <w:kern w:val="0"/>
                <w:sz w:val="24"/>
              </w:rPr>
              <w:t>　</w:t>
            </w:r>
          </w:p>
        </w:tc>
      </w:tr>
      <w:tr>
        <w:tblPrEx>
          <w:tblCellMar>
            <w:top w:w="0" w:type="dxa"/>
            <w:left w:w="108" w:type="dxa"/>
            <w:bottom w:w="0" w:type="dxa"/>
            <w:right w:w="108" w:type="dxa"/>
          </w:tblCellMar>
        </w:tblPrEx>
        <w:trPr>
          <w:trHeight w:val="714" w:hRule="atLeast"/>
          <w:jc w:val="center"/>
        </w:trPr>
        <w:tc>
          <w:tcPr>
            <w:tcW w:w="788" w:type="dxa"/>
            <w:vMerge w:val="continue"/>
            <w:tcBorders>
              <w:left w:val="single" w:color="auto" w:sz="4" w:space="0"/>
              <w:bottom w:val="nil"/>
              <w:right w:val="single" w:color="auto" w:sz="4" w:space="0"/>
            </w:tcBorders>
            <w:noWrap/>
            <w:vAlign w:val="center"/>
          </w:tcPr>
          <w:p>
            <w:pPr>
              <w:widowControl/>
              <w:spacing w:line="360" w:lineRule="auto"/>
              <w:jc w:val="left"/>
              <w:rPr>
                <w:rFonts w:ascii="仿宋" w:hAnsi="仿宋" w:eastAsia="仿宋" w:cs="宋体"/>
                <w:color w:val="auto"/>
                <w:kern w:val="0"/>
                <w:sz w:val="24"/>
              </w:rPr>
            </w:pPr>
          </w:p>
        </w:tc>
        <w:tc>
          <w:tcPr>
            <w:tcW w:w="1870" w:type="dxa"/>
            <w:vMerge w:val="continue"/>
            <w:tcBorders>
              <w:left w:val="single" w:color="auto" w:sz="4" w:space="0"/>
              <w:bottom w:val="nil"/>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p>
        </w:tc>
        <w:tc>
          <w:tcPr>
            <w:tcW w:w="6840" w:type="dxa"/>
            <w:tcBorders>
              <w:top w:val="nil"/>
              <w:left w:val="nil"/>
              <w:bottom w:val="single" w:color="auto" w:sz="4" w:space="0"/>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r>
              <w:rPr>
                <w:rFonts w:hint="eastAsia" w:ascii="仿宋" w:hAnsi="仿宋" w:eastAsia="仿宋" w:cs="宋体"/>
                <w:color w:val="auto"/>
                <w:spacing w:val="-10"/>
                <w:kern w:val="0"/>
                <w:sz w:val="24"/>
              </w:rPr>
              <w:t>招标代理单位及法人未被列入经营异常名录、严重违法失信名单、失信被执行人、重大税收违法案件当事人名单、政府采购严重违法失信行为记录名单的网站查询截图，无违纪记录得</w:t>
            </w:r>
            <w:r>
              <w:rPr>
                <w:rFonts w:ascii="仿宋" w:hAnsi="仿宋" w:eastAsia="仿宋" w:cs="宋体"/>
                <w:color w:val="auto"/>
                <w:spacing w:val="-10"/>
                <w:kern w:val="0"/>
                <w:sz w:val="24"/>
              </w:rPr>
              <w:t>5</w:t>
            </w:r>
            <w:r>
              <w:rPr>
                <w:rFonts w:hint="eastAsia" w:ascii="仿宋" w:hAnsi="仿宋" w:eastAsia="仿宋" w:cs="宋体"/>
                <w:color w:val="auto"/>
                <w:spacing w:val="-10"/>
                <w:kern w:val="0"/>
                <w:sz w:val="24"/>
              </w:rPr>
              <w:t>分；未提供或未完全提供或有违纪记录得</w:t>
            </w:r>
            <w:r>
              <w:rPr>
                <w:rFonts w:ascii="仿宋" w:hAnsi="仿宋" w:eastAsia="仿宋" w:cs="宋体"/>
                <w:color w:val="auto"/>
                <w:spacing w:val="-10"/>
                <w:kern w:val="0"/>
                <w:sz w:val="24"/>
              </w:rPr>
              <w:t>0</w:t>
            </w:r>
            <w:r>
              <w:rPr>
                <w:rFonts w:hint="eastAsia" w:ascii="仿宋" w:hAnsi="仿宋" w:eastAsia="仿宋" w:cs="宋体"/>
                <w:color w:val="auto"/>
                <w:spacing w:val="-10"/>
                <w:kern w:val="0"/>
                <w:sz w:val="24"/>
              </w:rPr>
              <w:t>分。</w:t>
            </w:r>
          </w:p>
        </w:tc>
        <w:tc>
          <w:tcPr>
            <w:tcW w:w="1001" w:type="dxa"/>
            <w:tcBorders>
              <w:top w:val="nil"/>
              <w:left w:val="nil"/>
              <w:bottom w:val="single" w:color="auto" w:sz="4" w:space="0"/>
              <w:right w:val="single" w:color="auto" w:sz="4" w:space="0"/>
            </w:tcBorders>
            <w:noWrap/>
            <w:vAlign w:val="center"/>
          </w:tcPr>
          <w:p>
            <w:pPr>
              <w:widowControl/>
              <w:spacing w:line="360" w:lineRule="auto"/>
              <w:jc w:val="center"/>
              <w:rPr>
                <w:rFonts w:ascii="仿宋" w:hAnsi="仿宋" w:eastAsia="仿宋" w:cs="宋体"/>
                <w:b/>
                <w:bCs/>
                <w:color w:val="auto"/>
                <w:kern w:val="0"/>
                <w:sz w:val="24"/>
              </w:rPr>
            </w:pPr>
          </w:p>
        </w:tc>
      </w:tr>
      <w:tr>
        <w:tblPrEx>
          <w:tblCellMar>
            <w:top w:w="0" w:type="dxa"/>
            <w:left w:w="108" w:type="dxa"/>
            <w:bottom w:w="0" w:type="dxa"/>
            <w:right w:w="108" w:type="dxa"/>
          </w:tblCellMar>
        </w:tblPrEx>
        <w:trPr>
          <w:trHeight w:val="624" w:hRule="atLeast"/>
          <w:jc w:val="center"/>
        </w:trPr>
        <w:tc>
          <w:tcPr>
            <w:tcW w:w="788"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r>
              <w:rPr>
                <w:rFonts w:ascii="仿宋" w:hAnsi="仿宋" w:eastAsia="仿宋" w:cs="宋体"/>
                <w:color w:val="auto"/>
                <w:kern w:val="0"/>
                <w:sz w:val="24"/>
              </w:rPr>
              <w:t>2</w:t>
            </w:r>
          </w:p>
        </w:tc>
        <w:tc>
          <w:tcPr>
            <w:tcW w:w="1870"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360" w:lineRule="auto"/>
              <w:jc w:val="center"/>
              <w:rPr>
                <w:rFonts w:ascii="仿宋" w:hAnsi="仿宋" w:eastAsia="仿宋" w:cs="宋体"/>
                <w:color w:val="auto"/>
                <w:spacing w:val="-10"/>
                <w:kern w:val="0"/>
                <w:sz w:val="24"/>
              </w:rPr>
            </w:pPr>
            <w:r>
              <w:rPr>
                <w:rFonts w:hint="eastAsia" w:ascii="仿宋" w:hAnsi="仿宋" w:eastAsia="仿宋" w:cs="宋体"/>
                <w:color w:val="auto"/>
                <w:spacing w:val="-10"/>
                <w:kern w:val="0"/>
                <w:sz w:val="24"/>
              </w:rPr>
              <w:t>代理方案（35分）</w:t>
            </w:r>
          </w:p>
        </w:tc>
        <w:tc>
          <w:tcPr>
            <w:tcW w:w="6840" w:type="dxa"/>
            <w:tcBorders>
              <w:top w:val="nil"/>
              <w:left w:val="nil"/>
              <w:bottom w:val="single" w:color="auto" w:sz="4" w:space="0"/>
              <w:right w:val="single" w:color="auto" w:sz="4" w:space="0"/>
            </w:tcBorders>
            <w:noWrap/>
            <w:vAlign w:val="center"/>
          </w:tcPr>
          <w:p>
            <w:pPr>
              <w:widowControl/>
              <w:spacing w:line="360" w:lineRule="auto"/>
              <w:jc w:val="left"/>
              <w:rPr>
                <w:rFonts w:ascii="仿宋" w:hAnsi="仿宋" w:eastAsia="仿宋" w:cs="宋体"/>
                <w:color w:val="auto"/>
                <w:spacing w:val="-16"/>
                <w:kern w:val="0"/>
                <w:sz w:val="24"/>
              </w:rPr>
            </w:pPr>
            <w:r>
              <w:rPr>
                <w:rFonts w:hint="eastAsia" w:ascii="仿宋" w:hAnsi="仿宋" w:eastAsia="仿宋" w:cs="宋体"/>
                <w:color w:val="auto"/>
                <w:spacing w:val="-16"/>
                <w:kern w:val="0"/>
                <w:sz w:val="24"/>
              </w:rPr>
              <w:t>人员配备（20分）：配备专职人员少于</w:t>
            </w:r>
            <w:r>
              <w:rPr>
                <w:rFonts w:ascii="仿宋" w:hAnsi="仿宋" w:eastAsia="仿宋" w:cs="宋体"/>
                <w:color w:val="auto"/>
                <w:spacing w:val="-16"/>
                <w:kern w:val="0"/>
                <w:sz w:val="24"/>
              </w:rPr>
              <w:t>2</w:t>
            </w:r>
            <w:r>
              <w:rPr>
                <w:rFonts w:hint="eastAsia" w:ascii="仿宋" w:hAnsi="仿宋" w:eastAsia="仿宋" w:cs="宋体"/>
                <w:color w:val="auto"/>
                <w:spacing w:val="-16"/>
                <w:kern w:val="0"/>
                <w:sz w:val="24"/>
              </w:rPr>
              <w:t>人得</w:t>
            </w:r>
            <w:r>
              <w:rPr>
                <w:rFonts w:ascii="仿宋" w:hAnsi="仿宋" w:eastAsia="仿宋" w:cs="宋体"/>
                <w:color w:val="auto"/>
                <w:spacing w:val="-16"/>
                <w:kern w:val="0"/>
                <w:sz w:val="24"/>
              </w:rPr>
              <w:t>0</w:t>
            </w:r>
            <w:r>
              <w:rPr>
                <w:rFonts w:hint="eastAsia" w:ascii="仿宋" w:hAnsi="仿宋" w:eastAsia="仿宋" w:cs="宋体"/>
                <w:color w:val="auto"/>
                <w:spacing w:val="-16"/>
                <w:kern w:val="0"/>
                <w:sz w:val="24"/>
              </w:rPr>
              <w:t>分，大于等于</w:t>
            </w:r>
            <w:r>
              <w:rPr>
                <w:rFonts w:ascii="仿宋" w:hAnsi="仿宋" w:eastAsia="仿宋" w:cs="宋体"/>
                <w:color w:val="auto"/>
                <w:spacing w:val="-16"/>
                <w:kern w:val="0"/>
                <w:sz w:val="24"/>
              </w:rPr>
              <w:t>2</w:t>
            </w:r>
            <w:r>
              <w:rPr>
                <w:rFonts w:hint="eastAsia" w:ascii="仿宋" w:hAnsi="仿宋" w:eastAsia="仿宋" w:cs="宋体"/>
                <w:color w:val="auto"/>
                <w:spacing w:val="-16"/>
                <w:kern w:val="0"/>
                <w:sz w:val="24"/>
              </w:rPr>
              <w:t>人得10分；专职人员相关证书证明资料（</w:t>
            </w:r>
            <w:r>
              <w:rPr>
                <w:rFonts w:hint="eastAsia" w:ascii="仿宋" w:hAnsi="仿宋" w:eastAsia="仿宋" w:cs="宋体"/>
                <w:b/>
                <w:color w:val="auto"/>
                <w:spacing w:val="-16"/>
                <w:kern w:val="0"/>
                <w:sz w:val="24"/>
              </w:rPr>
              <w:t>除身份证外</w:t>
            </w:r>
            <w:r>
              <w:rPr>
                <w:rFonts w:hint="eastAsia" w:ascii="仿宋" w:hAnsi="仿宋" w:eastAsia="仿宋" w:cs="宋体"/>
                <w:color w:val="auto"/>
                <w:spacing w:val="-16"/>
                <w:kern w:val="0"/>
                <w:sz w:val="24"/>
              </w:rPr>
              <w:t>）每提供一个证书得2分，最多不超过10分;合计不超过20分。</w:t>
            </w:r>
          </w:p>
        </w:tc>
        <w:tc>
          <w:tcPr>
            <w:tcW w:w="1001" w:type="dxa"/>
            <w:tcBorders>
              <w:top w:val="nil"/>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　</w:t>
            </w:r>
          </w:p>
        </w:tc>
      </w:tr>
      <w:tr>
        <w:tblPrEx>
          <w:tblCellMar>
            <w:top w:w="0" w:type="dxa"/>
            <w:left w:w="108" w:type="dxa"/>
            <w:bottom w:w="0" w:type="dxa"/>
            <w:right w:w="108" w:type="dxa"/>
          </w:tblCellMar>
        </w:tblPrEx>
        <w:trPr>
          <w:trHeight w:val="624" w:hRule="atLeast"/>
          <w:jc w:val="center"/>
        </w:trPr>
        <w:tc>
          <w:tcPr>
            <w:tcW w:w="788" w:type="dxa"/>
            <w:vMerge w:val="continue"/>
            <w:tcBorders>
              <w:top w:val="single" w:color="auto" w:sz="4" w:space="0"/>
              <w:left w:val="single" w:color="auto" w:sz="4" w:space="0"/>
              <w:bottom w:val="single" w:color="000000"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p>
        </w:tc>
        <w:tc>
          <w:tcPr>
            <w:tcW w:w="1870" w:type="dxa"/>
            <w:vMerge w:val="continue"/>
            <w:tcBorders>
              <w:top w:val="single" w:color="auto" w:sz="4" w:space="0"/>
              <w:left w:val="single" w:color="auto" w:sz="4" w:space="0"/>
              <w:bottom w:val="single" w:color="000000" w:sz="4" w:space="0"/>
              <w:right w:val="single" w:color="auto" w:sz="4" w:space="0"/>
            </w:tcBorders>
            <w:noWrap/>
            <w:vAlign w:val="center"/>
          </w:tcPr>
          <w:p>
            <w:pPr>
              <w:widowControl/>
              <w:spacing w:line="360" w:lineRule="auto"/>
              <w:jc w:val="center"/>
              <w:rPr>
                <w:rFonts w:ascii="仿宋" w:hAnsi="仿宋" w:eastAsia="仿宋" w:cs="宋体"/>
                <w:color w:val="auto"/>
                <w:spacing w:val="-10"/>
                <w:kern w:val="0"/>
                <w:sz w:val="24"/>
              </w:rPr>
            </w:pPr>
          </w:p>
        </w:tc>
        <w:tc>
          <w:tcPr>
            <w:tcW w:w="6840" w:type="dxa"/>
            <w:tcBorders>
              <w:top w:val="nil"/>
              <w:left w:val="nil"/>
              <w:bottom w:val="single" w:color="auto" w:sz="4" w:space="0"/>
              <w:right w:val="single" w:color="auto" w:sz="4" w:space="0"/>
            </w:tcBorders>
            <w:noWrap/>
            <w:vAlign w:val="center"/>
          </w:tcPr>
          <w:p>
            <w:pPr>
              <w:widowControl/>
              <w:spacing w:line="360" w:lineRule="auto"/>
              <w:jc w:val="left"/>
              <w:rPr>
                <w:rFonts w:ascii="仿宋" w:hAnsi="仿宋" w:eastAsia="仿宋" w:cs="宋体"/>
                <w:color w:val="auto"/>
                <w:kern w:val="0"/>
                <w:sz w:val="24"/>
              </w:rPr>
            </w:pPr>
            <w:r>
              <w:rPr>
                <w:rFonts w:hint="eastAsia" w:ascii="仿宋" w:hAnsi="仿宋" w:eastAsia="仿宋" w:cs="宋体"/>
                <w:color w:val="auto"/>
                <w:kern w:val="0"/>
                <w:sz w:val="24"/>
              </w:rPr>
              <w:t>招标方案编制合理、科学，招标代理服务工作内容齐全，工作流程清晰；得0-5分。</w:t>
            </w:r>
          </w:p>
        </w:tc>
        <w:tc>
          <w:tcPr>
            <w:tcW w:w="1001" w:type="dxa"/>
            <w:tcBorders>
              <w:top w:val="nil"/>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p>
        </w:tc>
      </w:tr>
      <w:tr>
        <w:tblPrEx>
          <w:tblCellMar>
            <w:top w:w="0" w:type="dxa"/>
            <w:left w:w="108" w:type="dxa"/>
            <w:bottom w:w="0" w:type="dxa"/>
            <w:right w:w="108" w:type="dxa"/>
          </w:tblCellMar>
        </w:tblPrEx>
        <w:trPr>
          <w:trHeight w:val="650" w:hRule="atLeast"/>
          <w:jc w:val="center"/>
        </w:trPr>
        <w:tc>
          <w:tcPr>
            <w:tcW w:w="788" w:type="dxa"/>
            <w:vMerge w:val="continue"/>
            <w:tcBorders>
              <w:top w:val="single" w:color="auto" w:sz="4" w:space="0"/>
              <w:left w:val="single" w:color="auto" w:sz="4" w:space="0"/>
              <w:bottom w:val="single" w:color="000000" w:sz="4" w:space="0"/>
              <w:right w:val="single" w:color="auto" w:sz="4" w:space="0"/>
            </w:tcBorders>
            <w:noWrap/>
            <w:vAlign w:val="center"/>
          </w:tcPr>
          <w:p>
            <w:pPr>
              <w:widowControl/>
              <w:spacing w:line="360" w:lineRule="auto"/>
              <w:jc w:val="left"/>
              <w:rPr>
                <w:rFonts w:ascii="仿宋" w:hAnsi="仿宋" w:eastAsia="仿宋" w:cs="宋体"/>
                <w:color w:val="auto"/>
                <w:kern w:val="0"/>
                <w:sz w:val="24"/>
              </w:rPr>
            </w:pPr>
          </w:p>
        </w:tc>
        <w:tc>
          <w:tcPr>
            <w:tcW w:w="1870" w:type="dxa"/>
            <w:vMerge w:val="continue"/>
            <w:tcBorders>
              <w:top w:val="single" w:color="auto" w:sz="4" w:space="0"/>
              <w:left w:val="single" w:color="auto" w:sz="4" w:space="0"/>
              <w:bottom w:val="single" w:color="000000" w:sz="4" w:space="0"/>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p>
        </w:tc>
        <w:tc>
          <w:tcPr>
            <w:tcW w:w="6840" w:type="dxa"/>
            <w:tcBorders>
              <w:top w:val="nil"/>
              <w:left w:val="nil"/>
              <w:bottom w:val="single" w:color="auto" w:sz="4" w:space="0"/>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r>
              <w:rPr>
                <w:rFonts w:hint="eastAsia" w:ascii="仿宋" w:hAnsi="仿宋" w:eastAsia="仿宋" w:cs="宋体"/>
                <w:color w:val="auto"/>
                <w:spacing w:val="-10"/>
                <w:kern w:val="0"/>
                <w:sz w:val="24"/>
              </w:rPr>
              <w:t>承诺在招标过程中能够遵守招投标相关规定，做到公开、公平、公正、专业的从事本项目招标工作的得</w:t>
            </w:r>
            <w:r>
              <w:rPr>
                <w:rFonts w:ascii="仿宋" w:hAnsi="仿宋" w:eastAsia="仿宋" w:cs="宋体"/>
                <w:color w:val="auto"/>
                <w:spacing w:val="-10"/>
                <w:kern w:val="0"/>
                <w:sz w:val="24"/>
              </w:rPr>
              <w:t>5</w:t>
            </w:r>
            <w:r>
              <w:rPr>
                <w:rFonts w:hint="eastAsia" w:ascii="仿宋" w:hAnsi="仿宋" w:eastAsia="仿宋" w:cs="宋体"/>
                <w:color w:val="auto"/>
                <w:spacing w:val="-10"/>
                <w:kern w:val="0"/>
                <w:sz w:val="24"/>
              </w:rPr>
              <w:t>分，否则得</w:t>
            </w:r>
            <w:r>
              <w:rPr>
                <w:rFonts w:ascii="仿宋" w:hAnsi="仿宋" w:eastAsia="仿宋" w:cs="宋体"/>
                <w:color w:val="auto"/>
                <w:spacing w:val="-10"/>
                <w:kern w:val="0"/>
                <w:sz w:val="24"/>
              </w:rPr>
              <w:t>0</w:t>
            </w:r>
            <w:r>
              <w:rPr>
                <w:rFonts w:hint="eastAsia" w:ascii="仿宋" w:hAnsi="仿宋" w:eastAsia="仿宋" w:cs="宋体"/>
                <w:color w:val="auto"/>
                <w:spacing w:val="-10"/>
                <w:kern w:val="0"/>
                <w:sz w:val="24"/>
              </w:rPr>
              <w:t>分。</w:t>
            </w:r>
          </w:p>
        </w:tc>
        <w:tc>
          <w:tcPr>
            <w:tcW w:w="1001" w:type="dxa"/>
            <w:tcBorders>
              <w:top w:val="nil"/>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　</w:t>
            </w:r>
          </w:p>
        </w:tc>
      </w:tr>
      <w:tr>
        <w:tblPrEx>
          <w:tblCellMar>
            <w:top w:w="0" w:type="dxa"/>
            <w:left w:w="108" w:type="dxa"/>
            <w:bottom w:w="0" w:type="dxa"/>
            <w:right w:w="108" w:type="dxa"/>
          </w:tblCellMar>
        </w:tblPrEx>
        <w:trPr>
          <w:trHeight w:val="584" w:hRule="atLeast"/>
          <w:jc w:val="center"/>
        </w:trPr>
        <w:tc>
          <w:tcPr>
            <w:tcW w:w="788" w:type="dxa"/>
            <w:vMerge w:val="continue"/>
            <w:tcBorders>
              <w:top w:val="single" w:color="auto" w:sz="4" w:space="0"/>
              <w:left w:val="single" w:color="auto" w:sz="4" w:space="0"/>
              <w:bottom w:val="single" w:color="000000" w:sz="4" w:space="0"/>
              <w:right w:val="single" w:color="auto" w:sz="4" w:space="0"/>
            </w:tcBorders>
            <w:noWrap/>
            <w:vAlign w:val="center"/>
          </w:tcPr>
          <w:p>
            <w:pPr>
              <w:widowControl/>
              <w:spacing w:line="360" w:lineRule="auto"/>
              <w:jc w:val="left"/>
              <w:rPr>
                <w:rFonts w:ascii="仿宋" w:hAnsi="仿宋" w:eastAsia="仿宋" w:cs="宋体"/>
                <w:color w:val="auto"/>
                <w:kern w:val="0"/>
                <w:sz w:val="24"/>
              </w:rPr>
            </w:pPr>
          </w:p>
        </w:tc>
        <w:tc>
          <w:tcPr>
            <w:tcW w:w="1870" w:type="dxa"/>
            <w:vMerge w:val="continue"/>
            <w:tcBorders>
              <w:top w:val="single" w:color="auto" w:sz="4" w:space="0"/>
              <w:left w:val="single" w:color="auto" w:sz="4" w:space="0"/>
              <w:bottom w:val="single" w:color="000000" w:sz="4" w:space="0"/>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p>
        </w:tc>
        <w:tc>
          <w:tcPr>
            <w:tcW w:w="6840" w:type="dxa"/>
            <w:tcBorders>
              <w:top w:val="nil"/>
              <w:left w:val="nil"/>
              <w:bottom w:val="single" w:color="auto" w:sz="4" w:space="0"/>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r>
              <w:rPr>
                <w:rFonts w:hint="eastAsia" w:ascii="仿宋" w:hAnsi="仿宋" w:eastAsia="仿宋" w:cs="宋体"/>
                <w:color w:val="auto"/>
                <w:spacing w:val="-10"/>
                <w:kern w:val="0"/>
                <w:sz w:val="24"/>
              </w:rPr>
              <w:t>服务响应时间：按照遴选公告内容对服务时限要求做出承诺响应，满足要求得5分，否则得</w:t>
            </w:r>
            <w:r>
              <w:rPr>
                <w:rFonts w:ascii="仿宋" w:hAnsi="仿宋" w:eastAsia="仿宋" w:cs="宋体"/>
                <w:color w:val="auto"/>
                <w:spacing w:val="-10"/>
                <w:kern w:val="0"/>
                <w:sz w:val="24"/>
              </w:rPr>
              <w:t>0</w:t>
            </w:r>
            <w:r>
              <w:rPr>
                <w:rFonts w:hint="eastAsia" w:ascii="仿宋" w:hAnsi="仿宋" w:eastAsia="仿宋" w:cs="宋体"/>
                <w:color w:val="auto"/>
                <w:spacing w:val="-10"/>
                <w:kern w:val="0"/>
                <w:sz w:val="24"/>
              </w:rPr>
              <w:t>分。</w:t>
            </w:r>
          </w:p>
        </w:tc>
        <w:tc>
          <w:tcPr>
            <w:tcW w:w="1001" w:type="dxa"/>
            <w:tcBorders>
              <w:top w:val="nil"/>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　</w:t>
            </w:r>
          </w:p>
          <w:p>
            <w:pPr>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　</w:t>
            </w:r>
          </w:p>
        </w:tc>
      </w:tr>
      <w:tr>
        <w:tblPrEx>
          <w:tblCellMar>
            <w:top w:w="0" w:type="dxa"/>
            <w:left w:w="108" w:type="dxa"/>
            <w:bottom w:w="0" w:type="dxa"/>
            <w:right w:w="108" w:type="dxa"/>
          </w:tblCellMar>
        </w:tblPrEx>
        <w:trPr>
          <w:trHeight w:val="667" w:hRule="atLeast"/>
          <w:jc w:val="center"/>
        </w:trPr>
        <w:tc>
          <w:tcPr>
            <w:tcW w:w="788"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r>
              <w:rPr>
                <w:rFonts w:ascii="仿宋" w:hAnsi="仿宋" w:eastAsia="仿宋" w:cs="宋体"/>
                <w:color w:val="auto"/>
                <w:kern w:val="0"/>
                <w:sz w:val="24"/>
              </w:rPr>
              <w:t>3</w:t>
            </w:r>
          </w:p>
        </w:tc>
        <w:tc>
          <w:tcPr>
            <w:tcW w:w="1870" w:type="dxa"/>
            <w:tcBorders>
              <w:top w:val="nil"/>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auto"/>
                <w:spacing w:val="-10"/>
                <w:kern w:val="0"/>
                <w:sz w:val="24"/>
              </w:rPr>
            </w:pPr>
            <w:r>
              <w:rPr>
                <w:rFonts w:hint="eastAsia" w:ascii="仿宋" w:hAnsi="仿宋" w:eastAsia="仿宋" w:cs="宋体"/>
                <w:color w:val="auto"/>
                <w:spacing w:val="-10"/>
                <w:kern w:val="0"/>
                <w:sz w:val="24"/>
              </w:rPr>
              <w:t>招标代理费报价</w:t>
            </w:r>
          </w:p>
          <w:p>
            <w:pPr>
              <w:widowControl/>
              <w:spacing w:line="360" w:lineRule="auto"/>
              <w:jc w:val="center"/>
              <w:rPr>
                <w:rFonts w:ascii="仿宋" w:hAnsi="仿宋" w:eastAsia="仿宋" w:cs="宋体"/>
                <w:color w:val="auto"/>
                <w:spacing w:val="-10"/>
                <w:kern w:val="0"/>
                <w:sz w:val="24"/>
              </w:rPr>
            </w:pPr>
            <w:r>
              <w:rPr>
                <w:rFonts w:hint="eastAsia" w:ascii="仿宋" w:hAnsi="仿宋" w:eastAsia="仿宋" w:cs="宋体"/>
                <w:color w:val="auto"/>
                <w:spacing w:val="-10"/>
                <w:kern w:val="0"/>
                <w:sz w:val="24"/>
              </w:rPr>
              <w:t>（20分）</w:t>
            </w:r>
          </w:p>
        </w:tc>
        <w:tc>
          <w:tcPr>
            <w:tcW w:w="6840"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r>
              <w:rPr>
                <w:rFonts w:hint="eastAsia" w:ascii="仿宋" w:hAnsi="仿宋" w:eastAsia="仿宋" w:cs="宋体"/>
                <w:color w:val="auto"/>
                <w:spacing w:val="-10"/>
                <w:kern w:val="0"/>
                <w:sz w:val="24"/>
              </w:rPr>
              <w:t>按报价由低到高进行排名，第一名得20分，第二名得18分……依次类推，每递减一名，报价得分在前一名得分的基础上扣2分。</w:t>
            </w:r>
          </w:p>
        </w:tc>
        <w:tc>
          <w:tcPr>
            <w:tcW w:w="1001"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　</w:t>
            </w:r>
          </w:p>
        </w:tc>
      </w:tr>
      <w:tr>
        <w:tblPrEx>
          <w:tblCellMar>
            <w:top w:w="0" w:type="dxa"/>
            <w:left w:w="108" w:type="dxa"/>
            <w:bottom w:w="0" w:type="dxa"/>
            <w:right w:w="108" w:type="dxa"/>
          </w:tblCellMar>
        </w:tblPrEx>
        <w:trPr>
          <w:trHeight w:val="1311" w:hRule="atLeast"/>
          <w:jc w:val="center"/>
        </w:trPr>
        <w:tc>
          <w:tcPr>
            <w:tcW w:w="78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r>
              <w:rPr>
                <w:rFonts w:ascii="仿宋" w:hAnsi="仿宋" w:eastAsia="仿宋" w:cs="宋体"/>
                <w:color w:val="auto"/>
                <w:kern w:val="0"/>
                <w:sz w:val="24"/>
              </w:rPr>
              <w:t>4</w:t>
            </w:r>
          </w:p>
        </w:tc>
        <w:tc>
          <w:tcPr>
            <w:tcW w:w="187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仿宋" w:hAnsi="仿宋" w:eastAsia="仿宋" w:cs="宋体"/>
                <w:color w:val="auto"/>
                <w:spacing w:val="-10"/>
                <w:kern w:val="0"/>
                <w:sz w:val="24"/>
              </w:rPr>
            </w:pPr>
            <w:r>
              <w:rPr>
                <w:rFonts w:hint="eastAsia" w:ascii="仿宋" w:hAnsi="仿宋" w:eastAsia="仿宋" w:cs="宋体"/>
                <w:color w:val="auto"/>
                <w:spacing w:val="-10"/>
                <w:kern w:val="0"/>
                <w:sz w:val="24"/>
              </w:rPr>
              <w:t>其他</w:t>
            </w:r>
          </w:p>
          <w:p>
            <w:pPr>
              <w:widowControl/>
              <w:spacing w:line="360" w:lineRule="auto"/>
              <w:jc w:val="center"/>
              <w:rPr>
                <w:rFonts w:ascii="仿宋" w:hAnsi="仿宋" w:eastAsia="仿宋" w:cs="宋体"/>
                <w:color w:val="auto"/>
                <w:spacing w:val="-10"/>
                <w:kern w:val="0"/>
                <w:sz w:val="24"/>
              </w:rPr>
            </w:pPr>
            <w:r>
              <w:rPr>
                <w:rFonts w:ascii="仿宋" w:hAnsi="仿宋" w:eastAsia="仿宋" w:cs="宋体"/>
                <w:color w:val="auto"/>
                <w:spacing w:val="-10"/>
                <w:kern w:val="0"/>
                <w:sz w:val="24"/>
              </w:rPr>
              <w:t xml:space="preserve"> (2</w:t>
            </w:r>
            <w:r>
              <w:rPr>
                <w:rFonts w:hint="eastAsia" w:ascii="仿宋" w:hAnsi="仿宋" w:eastAsia="仿宋" w:cs="宋体"/>
                <w:color w:val="auto"/>
                <w:spacing w:val="-10"/>
                <w:kern w:val="0"/>
                <w:sz w:val="24"/>
              </w:rPr>
              <w:t>0分</w:t>
            </w:r>
            <w:r>
              <w:rPr>
                <w:rFonts w:ascii="仿宋" w:hAnsi="仿宋" w:eastAsia="仿宋" w:cs="宋体"/>
                <w:color w:val="auto"/>
                <w:spacing w:val="-10"/>
                <w:kern w:val="0"/>
                <w:sz w:val="24"/>
              </w:rPr>
              <w:t>)</w:t>
            </w:r>
          </w:p>
        </w:tc>
        <w:tc>
          <w:tcPr>
            <w:tcW w:w="684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仿宋" w:hAnsi="仿宋" w:eastAsia="仿宋" w:cs="宋体"/>
                <w:color w:val="auto"/>
                <w:spacing w:val="-10"/>
                <w:kern w:val="0"/>
                <w:sz w:val="24"/>
              </w:rPr>
            </w:pPr>
            <w:r>
              <w:rPr>
                <w:rFonts w:hint="eastAsia" w:ascii="仿宋" w:hAnsi="仿宋" w:eastAsia="仿宋" w:cs="宋体"/>
                <w:color w:val="auto"/>
                <w:spacing w:val="-10"/>
                <w:kern w:val="0"/>
                <w:sz w:val="24"/>
                <w:lang w:val="en-US" w:eastAsia="zh-CN"/>
              </w:rPr>
              <w:t>2020年以来</w:t>
            </w:r>
            <w:r>
              <w:rPr>
                <w:rFonts w:hint="eastAsia" w:ascii="仿宋" w:hAnsi="仿宋" w:eastAsia="仿宋" w:cs="宋体"/>
                <w:color w:val="auto"/>
                <w:spacing w:val="-10"/>
                <w:kern w:val="0"/>
                <w:sz w:val="24"/>
              </w:rPr>
              <w:t>完成的</w:t>
            </w:r>
            <w:r>
              <w:rPr>
                <w:rFonts w:hint="eastAsia" w:ascii="仿宋" w:hAnsi="仿宋" w:eastAsia="仿宋" w:cs="宋体"/>
                <w:color w:val="auto"/>
                <w:spacing w:val="-10"/>
                <w:kern w:val="0"/>
                <w:sz w:val="24"/>
                <w:lang w:eastAsia="zh-CN"/>
              </w:rPr>
              <w:t>工程基建类</w:t>
            </w:r>
            <w:r>
              <w:rPr>
                <w:rFonts w:hint="eastAsia" w:ascii="仿宋" w:hAnsi="仿宋" w:eastAsia="仿宋" w:cs="宋体"/>
                <w:color w:val="auto"/>
                <w:spacing w:val="-10"/>
                <w:kern w:val="0"/>
                <w:sz w:val="24"/>
              </w:rPr>
              <w:t>招标代理业绩，每提供一个业绩得5分，最多不超过20分（需提供加盖公章的合同复印件）。</w:t>
            </w:r>
          </w:p>
        </w:tc>
        <w:tc>
          <w:tcPr>
            <w:tcW w:w="1001" w:type="dxa"/>
            <w:tcBorders>
              <w:top w:val="nil"/>
              <w:left w:val="nil"/>
              <w:bottom w:val="single" w:color="auto" w:sz="4" w:space="0"/>
              <w:right w:val="single" w:color="auto" w:sz="4" w:space="0"/>
            </w:tcBorders>
            <w:noWrap/>
            <w:vAlign w:val="center"/>
          </w:tcPr>
          <w:p>
            <w:pPr>
              <w:widowControl/>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　</w:t>
            </w:r>
          </w:p>
          <w:p>
            <w:pPr>
              <w:spacing w:line="360" w:lineRule="auto"/>
              <w:jc w:val="center"/>
              <w:rPr>
                <w:rFonts w:ascii="仿宋" w:hAnsi="仿宋" w:eastAsia="仿宋" w:cs="宋体"/>
                <w:color w:val="auto"/>
                <w:kern w:val="0"/>
                <w:sz w:val="24"/>
              </w:rPr>
            </w:pPr>
            <w:r>
              <w:rPr>
                <w:rFonts w:hint="eastAsia" w:ascii="仿宋" w:hAnsi="仿宋" w:eastAsia="仿宋" w:cs="宋体"/>
                <w:color w:val="auto"/>
                <w:kern w:val="0"/>
                <w:sz w:val="24"/>
              </w:rPr>
              <w:t>　</w:t>
            </w:r>
          </w:p>
        </w:tc>
      </w:tr>
      <w:tr>
        <w:tblPrEx>
          <w:tblCellMar>
            <w:top w:w="0" w:type="dxa"/>
            <w:left w:w="108" w:type="dxa"/>
            <w:bottom w:w="0" w:type="dxa"/>
            <w:right w:w="108" w:type="dxa"/>
          </w:tblCellMar>
        </w:tblPrEx>
        <w:trPr>
          <w:trHeight w:val="612" w:hRule="atLeast"/>
          <w:jc w:val="center"/>
        </w:trPr>
        <w:tc>
          <w:tcPr>
            <w:tcW w:w="949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仿宋" w:hAnsi="仿宋" w:eastAsia="仿宋" w:cs="宋体"/>
                <w:color w:val="auto"/>
                <w:kern w:val="0"/>
                <w:sz w:val="24"/>
              </w:rPr>
            </w:pPr>
            <w:r>
              <w:rPr>
                <w:rFonts w:hint="eastAsia" w:ascii="仿宋" w:hAnsi="仿宋" w:eastAsia="仿宋" w:cs="宋体"/>
                <w:color w:val="auto"/>
                <w:kern w:val="0"/>
                <w:sz w:val="24"/>
              </w:rPr>
              <w:t>综合评分</w:t>
            </w:r>
          </w:p>
        </w:tc>
        <w:tc>
          <w:tcPr>
            <w:tcW w:w="1001" w:type="dxa"/>
            <w:tcBorders>
              <w:top w:val="single" w:color="auto" w:sz="4" w:space="0"/>
              <w:left w:val="nil"/>
              <w:bottom w:val="single" w:color="auto" w:sz="4" w:space="0"/>
              <w:right w:val="single" w:color="auto" w:sz="4" w:space="0"/>
            </w:tcBorders>
            <w:noWrap/>
            <w:vAlign w:val="center"/>
          </w:tcPr>
          <w:p>
            <w:pPr>
              <w:widowControl/>
              <w:spacing w:line="420" w:lineRule="exact"/>
              <w:jc w:val="center"/>
              <w:rPr>
                <w:rFonts w:ascii="仿宋" w:hAnsi="仿宋" w:eastAsia="仿宋" w:cs="宋体"/>
                <w:color w:val="auto"/>
                <w:kern w:val="0"/>
                <w:sz w:val="24"/>
              </w:rPr>
            </w:pPr>
          </w:p>
        </w:tc>
      </w:tr>
    </w:tbl>
    <w:p>
      <w:pPr>
        <w:tabs>
          <w:tab w:val="left" w:pos="2127"/>
        </w:tabs>
        <w:spacing w:line="360" w:lineRule="exact"/>
        <w:ind w:firstLine="562" w:firstLineChars="200"/>
        <w:rPr>
          <w:rFonts w:ascii="仿宋" w:hAnsi="仿宋" w:eastAsia="仿宋" w:cs="仿宋"/>
          <w:b/>
          <w:color w:val="auto"/>
          <w:sz w:val="28"/>
          <w:szCs w:val="28"/>
        </w:rPr>
      </w:pPr>
    </w:p>
    <w:p>
      <w:pPr>
        <w:pStyle w:val="2"/>
      </w:pPr>
    </w:p>
    <w:p>
      <w:pPr>
        <w:pStyle w:val="2"/>
        <w:spacing w:line="500" w:lineRule="exact"/>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七、遴选结果评议</w:t>
      </w:r>
    </w:p>
    <w:p>
      <w:pPr>
        <w:pStyle w:val="2"/>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500" w:lineRule="exact"/>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八、招标代理合同</w:t>
      </w:r>
    </w:p>
    <w:p>
      <w:pPr>
        <w:pStyle w:val="2"/>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（参照“洛阳市市级政府采购项目委托代理协议书”）</w:t>
      </w:r>
    </w:p>
    <w:p>
      <w:pPr>
        <w:tabs>
          <w:tab w:val="left" w:pos="2127"/>
        </w:tabs>
        <w:spacing w:line="500" w:lineRule="exact"/>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九、公示</w:t>
      </w:r>
    </w:p>
    <w:p>
      <w:pPr>
        <w:pStyle w:val="2"/>
        <w:spacing w:line="500" w:lineRule="exact"/>
        <w:ind w:firstLine="520" w:firstLineChars="200"/>
        <w:rPr>
          <w:rFonts w:ascii="仿宋" w:hAnsi="仿宋" w:eastAsia="仿宋" w:cs="仿宋"/>
          <w:color w:val="auto"/>
          <w:spacing w:val="-10"/>
          <w:sz w:val="28"/>
          <w:szCs w:val="28"/>
        </w:rPr>
      </w:pPr>
      <w:r>
        <w:rPr>
          <w:rFonts w:hint="eastAsia" w:ascii="仿宋" w:hAnsi="仿宋" w:eastAsia="仿宋" w:cs="仿宋"/>
          <w:color w:val="auto"/>
          <w:spacing w:val="-10"/>
          <w:sz w:val="28"/>
          <w:szCs w:val="28"/>
        </w:rPr>
        <w:t>本次遴选公告、遴选结果公告将在洛阳市</w:t>
      </w:r>
      <w:r>
        <w:rPr>
          <w:rFonts w:hint="eastAsia" w:ascii="仿宋" w:hAnsi="仿宋" w:eastAsia="仿宋" w:cs="仿宋"/>
          <w:color w:val="auto"/>
          <w:spacing w:val="-10"/>
          <w:sz w:val="28"/>
          <w:szCs w:val="28"/>
          <w:lang w:eastAsia="zh-CN"/>
        </w:rPr>
        <w:t>交通</w:t>
      </w:r>
      <w:r>
        <w:rPr>
          <w:rFonts w:hint="eastAsia" w:ascii="仿宋" w:hAnsi="仿宋" w:eastAsia="仿宋" w:cs="仿宋"/>
          <w:color w:val="auto"/>
          <w:spacing w:val="-10"/>
          <w:sz w:val="28"/>
          <w:szCs w:val="28"/>
        </w:rPr>
        <w:t>事业发展中心网站（</w:t>
      </w:r>
      <w:r>
        <w:rPr>
          <w:color w:val="auto"/>
        </w:rPr>
        <w:fldChar w:fldCharType="begin"/>
      </w:r>
      <w:r>
        <w:rPr>
          <w:color w:val="auto"/>
        </w:rPr>
        <w:instrText xml:space="preserve"> HYPERLINK "http://www.luoyanggl.cn" </w:instrText>
      </w:r>
      <w:r>
        <w:rPr>
          <w:color w:val="auto"/>
        </w:rPr>
        <w:fldChar w:fldCharType="separate"/>
      </w:r>
      <w:r>
        <w:rPr>
          <w:rFonts w:ascii="仿宋" w:hAnsi="仿宋" w:eastAsia="仿宋" w:cs="仿宋"/>
          <w:color w:val="auto"/>
          <w:spacing w:val="-10"/>
          <w:sz w:val="28"/>
          <w:szCs w:val="28"/>
        </w:rPr>
        <w:t>www.luoyanggl.cn</w:t>
      </w:r>
      <w:r>
        <w:rPr>
          <w:rFonts w:ascii="仿宋" w:hAnsi="仿宋" w:eastAsia="仿宋" w:cs="仿宋"/>
          <w:color w:val="auto"/>
          <w:spacing w:val="-10"/>
          <w:sz w:val="28"/>
          <w:szCs w:val="28"/>
        </w:rPr>
        <w:fldChar w:fldCharType="end"/>
      </w:r>
      <w:r>
        <w:rPr>
          <w:rFonts w:hint="eastAsia" w:ascii="仿宋" w:hAnsi="仿宋" w:eastAsia="仿宋" w:cs="仿宋"/>
          <w:color w:val="auto"/>
          <w:spacing w:val="-10"/>
          <w:sz w:val="28"/>
          <w:szCs w:val="28"/>
        </w:rPr>
        <w:t>）政务公开栏上公示。</w:t>
      </w:r>
    </w:p>
    <w:p>
      <w:pPr>
        <w:tabs>
          <w:tab w:val="left" w:pos="2127"/>
        </w:tabs>
        <w:spacing w:line="500" w:lineRule="exact"/>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十、采购人及联系方式</w:t>
      </w:r>
    </w:p>
    <w:p>
      <w:pPr>
        <w:pStyle w:val="2"/>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采购人：洛阳市</w:t>
      </w:r>
      <w:r>
        <w:rPr>
          <w:rFonts w:hint="eastAsia" w:ascii="仿宋" w:hAnsi="仿宋" w:eastAsia="仿宋" w:cs="仿宋"/>
          <w:color w:val="auto"/>
          <w:sz w:val="28"/>
          <w:szCs w:val="28"/>
          <w:lang w:eastAsia="zh-CN"/>
        </w:rPr>
        <w:t>交通</w:t>
      </w:r>
      <w:r>
        <w:rPr>
          <w:rFonts w:hint="eastAsia" w:ascii="仿宋" w:hAnsi="仿宋" w:eastAsia="仿宋" w:cs="仿宋"/>
          <w:color w:val="auto"/>
          <w:sz w:val="28"/>
          <w:szCs w:val="28"/>
        </w:rPr>
        <w:t>事业发展中心</w:t>
      </w:r>
    </w:p>
    <w:p>
      <w:pPr>
        <w:tabs>
          <w:tab w:val="left" w:pos="2127"/>
        </w:tabs>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联 系 人：段先生</w:t>
      </w:r>
    </w:p>
    <w:p>
      <w:pPr>
        <w:tabs>
          <w:tab w:val="left" w:pos="2127"/>
        </w:tabs>
        <w:spacing w:line="50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联系电话：0379-63217736</w:t>
      </w:r>
    </w:p>
    <w:p>
      <w:pPr>
        <w:tabs>
          <w:tab w:val="left" w:pos="2127"/>
        </w:tabs>
        <w:spacing w:line="500" w:lineRule="exact"/>
        <w:ind w:firstLine="560" w:firstLineChars="200"/>
        <w:rPr>
          <w:rFonts w:hint="eastAsia" w:ascii="仿宋" w:hAnsi="仿宋" w:eastAsia="仿宋" w:cs="仿宋"/>
          <w:color w:val="auto"/>
          <w:sz w:val="28"/>
          <w:szCs w:val="28"/>
        </w:rPr>
      </w:pPr>
    </w:p>
    <w:p>
      <w:pPr>
        <w:pStyle w:val="2"/>
        <w:rPr>
          <w:color w:val="auto"/>
        </w:rPr>
      </w:pPr>
    </w:p>
    <w:p>
      <w:pPr>
        <w:tabs>
          <w:tab w:val="left" w:pos="2127"/>
        </w:tabs>
        <w:spacing w:line="500" w:lineRule="exact"/>
        <w:jc w:val="right"/>
        <w:rPr>
          <w:rFonts w:ascii="仿宋" w:hAnsi="仿宋" w:eastAsia="仿宋" w:cs="仿宋"/>
          <w:color w:val="auto"/>
          <w:sz w:val="28"/>
          <w:szCs w:val="28"/>
        </w:rPr>
      </w:pPr>
      <w:r>
        <w:rPr>
          <w:rFonts w:hint="eastAsia" w:ascii="仿宋" w:hAnsi="仿宋" w:eastAsia="仿宋" w:cs="仿宋"/>
          <w:color w:val="auto"/>
          <w:sz w:val="28"/>
          <w:szCs w:val="28"/>
        </w:rPr>
        <w:t>洛阳市</w:t>
      </w:r>
      <w:r>
        <w:rPr>
          <w:rFonts w:hint="eastAsia" w:ascii="仿宋" w:hAnsi="仿宋" w:eastAsia="仿宋" w:cs="仿宋"/>
          <w:color w:val="auto"/>
          <w:sz w:val="28"/>
          <w:szCs w:val="28"/>
          <w:lang w:eastAsia="zh-CN"/>
        </w:rPr>
        <w:t>交通</w:t>
      </w:r>
      <w:r>
        <w:rPr>
          <w:rFonts w:hint="eastAsia" w:ascii="仿宋" w:hAnsi="仿宋" w:eastAsia="仿宋" w:cs="仿宋"/>
          <w:color w:val="auto"/>
          <w:sz w:val="28"/>
          <w:szCs w:val="28"/>
        </w:rPr>
        <w:t>事业发展中心</w:t>
      </w:r>
    </w:p>
    <w:p>
      <w:pPr>
        <w:tabs>
          <w:tab w:val="left" w:pos="2127"/>
        </w:tabs>
        <w:spacing w:line="500" w:lineRule="exact"/>
        <w:ind w:right="420"/>
        <w:jc w:val="right"/>
        <w:rPr>
          <w:rFonts w:ascii="仿宋" w:hAnsi="仿宋" w:eastAsia="仿宋" w:cs="仿宋"/>
          <w:color w:val="auto"/>
          <w:sz w:val="28"/>
          <w:szCs w:val="28"/>
        </w:rPr>
      </w:pP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20</w:t>
      </w:r>
      <w:bookmarkStart w:id="1" w:name="_GoBack"/>
      <w:bookmarkEnd w:id="1"/>
      <w:r>
        <w:rPr>
          <w:rFonts w:hint="eastAsia" w:ascii="仿宋" w:hAnsi="仿宋" w:eastAsia="仿宋" w:cs="仿宋"/>
          <w:color w:val="auto"/>
          <w:sz w:val="28"/>
          <w:szCs w:val="28"/>
        </w:rPr>
        <w:t>日</w:t>
      </w:r>
    </w:p>
    <w:p>
      <w:pPr>
        <w:tabs>
          <w:tab w:val="left" w:pos="2127"/>
        </w:tabs>
        <w:spacing w:line="500" w:lineRule="exact"/>
        <w:ind w:firstLine="560" w:firstLineChars="200"/>
        <w:rPr>
          <w:rFonts w:ascii="仿宋" w:hAnsi="仿宋" w:eastAsia="仿宋" w:cs="仿宋"/>
          <w:color w:val="auto"/>
          <w:sz w:val="28"/>
          <w:szCs w:val="28"/>
        </w:rPr>
      </w:pPr>
    </w:p>
    <w:p>
      <w:pPr>
        <w:tabs>
          <w:tab w:val="left" w:pos="2127"/>
        </w:tabs>
        <w:spacing w:line="500" w:lineRule="exact"/>
        <w:ind w:firstLine="560" w:firstLineChars="200"/>
        <w:rPr>
          <w:rFonts w:ascii="仿宋" w:hAnsi="仿宋" w:eastAsia="仿宋" w:cs="仿宋"/>
          <w:color w:val="auto"/>
          <w:sz w:val="28"/>
          <w:szCs w:val="28"/>
        </w:rPr>
      </w:pPr>
    </w:p>
    <w:p>
      <w:pPr>
        <w:tabs>
          <w:tab w:val="left" w:pos="2127"/>
        </w:tabs>
        <w:spacing w:line="500" w:lineRule="exact"/>
        <w:ind w:firstLine="560" w:firstLineChars="200"/>
        <w:rPr>
          <w:rFonts w:ascii="仿宋" w:hAnsi="仿宋" w:eastAsia="仿宋" w:cs="仿宋"/>
          <w:color w:val="auto"/>
          <w:sz w:val="28"/>
          <w:szCs w:val="28"/>
        </w:rPr>
      </w:pPr>
    </w:p>
    <w:p>
      <w:pPr>
        <w:tabs>
          <w:tab w:val="left" w:pos="2127"/>
        </w:tabs>
        <w:spacing w:line="500" w:lineRule="exact"/>
        <w:ind w:firstLine="560" w:firstLineChars="200"/>
        <w:rPr>
          <w:rFonts w:ascii="仿宋" w:hAnsi="仿宋" w:eastAsia="仿宋" w:cs="仿宋"/>
          <w:color w:val="auto"/>
          <w:sz w:val="28"/>
          <w:szCs w:val="28"/>
        </w:rPr>
      </w:pPr>
    </w:p>
    <w:p>
      <w:pPr>
        <w:tabs>
          <w:tab w:val="left" w:pos="2127"/>
        </w:tabs>
        <w:spacing w:line="500" w:lineRule="exact"/>
        <w:ind w:firstLine="560" w:firstLineChars="200"/>
        <w:rPr>
          <w:rFonts w:ascii="仿宋" w:hAnsi="仿宋" w:eastAsia="仿宋" w:cs="仿宋"/>
          <w:color w:val="auto"/>
          <w:sz w:val="28"/>
          <w:szCs w:val="28"/>
        </w:rPr>
      </w:pPr>
    </w:p>
    <w:p>
      <w:pPr>
        <w:tabs>
          <w:tab w:val="left" w:pos="2127"/>
        </w:tabs>
        <w:spacing w:line="500" w:lineRule="exact"/>
        <w:ind w:firstLine="560" w:firstLineChars="200"/>
        <w:rPr>
          <w:rFonts w:ascii="仿宋" w:hAnsi="仿宋" w:eastAsia="仿宋" w:cs="仿宋"/>
          <w:color w:val="auto"/>
          <w:sz w:val="28"/>
          <w:szCs w:val="28"/>
        </w:rPr>
      </w:pPr>
    </w:p>
    <w:p>
      <w:pPr>
        <w:tabs>
          <w:tab w:val="left" w:pos="2127"/>
        </w:tabs>
        <w:spacing w:line="500" w:lineRule="exact"/>
        <w:ind w:firstLine="560" w:firstLineChars="200"/>
        <w:rPr>
          <w:rFonts w:ascii="仿宋" w:hAnsi="仿宋" w:eastAsia="仿宋" w:cs="仿宋"/>
          <w:color w:val="auto"/>
          <w:sz w:val="28"/>
          <w:szCs w:val="28"/>
        </w:rPr>
      </w:pPr>
    </w:p>
    <w:p>
      <w:pPr>
        <w:tabs>
          <w:tab w:val="left" w:pos="2127"/>
        </w:tabs>
        <w:spacing w:line="500" w:lineRule="exact"/>
        <w:ind w:firstLine="560" w:firstLineChars="200"/>
        <w:rPr>
          <w:rFonts w:ascii="仿宋" w:hAnsi="仿宋" w:eastAsia="仿宋" w:cs="仿宋"/>
          <w:color w:val="auto"/>
          <w:sz w:val="28"/>
          <w:szCs w:val="28"/>
        </w:rPr>
      </w:pPr>
    </w:p>
    <w:bookmarkEnd w:id="0"/>
    <w:p>
      <w:pPr>
        <w:tabs>
          <w:tab w:val="left" w:pos="2127"/>
        </w:tabs>
        <w:spacing w:line="360" w:lineRule="auto"/>
        <w:rPr>
          <w:rFonts w:ascii="仿宋" w:hAnsi="仿宋" w:eastAsia="仿宋" w:cs="仿宋"/>
          <w:b/>
          <w:bCs/>
          <w:color w:val="auto"/>
          <w:sz w:val="32"/>
          <w:szCs w:val="32"/>
        </w:rPr>
      </w:pPr>
    </w:p>
    <w:sectPr>
      <w:headerReference r:id="rId3" w:type="default"/>
      <w:footerReference r:id="rId4" w:type="default"/>
      <w:pgSz w:w="11906" w:h="16838"/>
      <w:pgMar w:top="1701" w:right="1418"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11461"/>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41663F"/>
    <w:multiLevelType w:val="singleLevel"/>
    <w:tmpl w:val="4A41663F"/>
    <w:lvl w:ilvl="0" w:tentative="0">
      <w:start w:val="8"/>
      <w:numFmt w:val="decimal"/>
      <w:suff w:val="nothing"/>
      <w:lvlText w:val="%1、"/>
      <w:lvlJc w:val="left"/>
    </w:lvl>
  </w:abstractNum>
  <w:abstractNum w:abstractNumId="1">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NDZlOGVkMjgwMjE2OTQ0MGVmMTZhMTA2ZjMzYjcifQ=="/>
  </w:docVars>
  <w:rsids>
    <w:rsidRoot w:val="12103DC7"/>
    <w:rsid w:val="000670EE"/>
    <w:rsid w:val="000B0021"/>
    <w:rsid w:val="0012047F"/>
    <w:rsid w:val="001D4109"/>
    <w:rsid w:val="0024691B"/>
    <w:rsid w:val="002E4D24"/>
    <w:rsid w:val="00320DC3"/>
    <w:rsid w:val="003775D3"/>
    <w:rsid w:val="004E15DA"/>
    <w:rsid w:val="004E2169"/>
    <w:rsid w:val="004E49D4"/>
    <w:rsid w:val="0056164E"/>
    <w:rsid w:val="00582106"/>
    <w:rsid w:val="006302DE"/>
    <w:rsid w:val="0072194D"/>
    <w:rsid w:val="007620D0"/>
    <w:rsid w:val="00916A1D"/>
    <w:rsid w:val="00963B85"/>
    <w:rsid w:val="00965B70"/>
    <w:rsid w:val="009A6510"/>
    <w:rsid w:val="009C6AAC"/>
    <w:rsid w:val="00A51E1D"/>
    <w:rsid w:val="00B30D23"/>
    <w:rsid w:val="00B54E09"/>
    <w:rsid w:val="00B9780D"/>
    <w:rsid w:val="00BC4AA9"/>
    <w:rsid w:val="00CF0441"/>
    <w:rsid w:val="00CF0C3D"/>
    <w:rsid w:val="00D25B88"/>
    <w:rsid w:val="00D31363"/>
    <w:rsid w:val="00D66DDD"/>
    <w:rsid w:val="00DA58AD"/>
    <w:rsid w:val="00E05082"/>
    <w:rsid w:val="00E4235E"/>
    <w:rsid w:val="00E42DC4"/>
    <w:rsid w:val="00ED3A04"/>
    <w:rsid w:val="00F829D1"/>
    <w:rsid w:val="00F87C63"/>
    <w:rsid w:val="00FA0173"/>
    <w:rsid w:val="011F210A"/>
    <w:rsid w:val="044B1342"/>
    <w:rsid w:val="0584493E"/>
    <w:rsid w:val="07AA09A8"/>
    <w:rsid w:val="07E05757"/>
    <w:rsid w:val="097C1F9D"/>
    <w:rsid w:val="0B237639"/>
    <w:rsid w:val="104C1533"/>
    <w:rsid w:val="10C24C05"/>
    <w:rsid w:val="11AE237B"/>
    <w:rsid w:val="12103DC7"/>
    <w:rsid w:val="13AA5006"/>
    <w:rsid w:val="18197A50"/>
    <w:rsid w:val="1B4D4DB6"/>
    <w:rsid w:val="1D6314A8"/>
    <w:rsid w:val="201A32D9"/>
    <w:rsid w:val="237D33B0"/>
    <w:rsid w:val="2441712C"/>
    <w:rsid w:val="28A05033"/>
    <w:rsid w:val="30617F84"/>
    <w:rsid w:val="34B77194"/>
    <w:rsid w:val="36080591"/>
    <w:rsid w:val="36371A07"/>
    <w:rsid w:val="36632192"/>
    <w:rsid w:val="40A362C1"/>
    <w:rsid w:val="41EA0655"/>
    <w:rsid w:val="45E343E6"/>
    <w:rsid w:val="48A028AB"/>
    <w:rsid w:val="49B760FE"/>
    <w:rsid w:val="4B30441A"/>
    <w:rsid w:val="4B5A492B"/>
    <w:rsid w:val="4C081FDB"/>
    <w:rsid w:val="4F1B0EDE"/>
    <w:rsid w:val="52611F6F"/>
    <w:rsid w:val="579E65F7"/>
    <w:rsid w:val="584537DE"/>
    <w:rsid w:val="590816FA"/>
    <w:rsid w:val="5A3A490E"/>
    <w:rsid w:val="5A864503"/>
    <w:rsid w:val="5EDC3864"/>
    <w:rsid w:val="61957FA8"/>
    <w:rsid w:val="659D6236"/>
    <w:rsid w:val="6A184540"/>
    <w:rsid w:val="6F351D01"/>
    <w:rsid w:val="71AB5B54"/>
    <w:rsid w:val="7D6E625D"/>
    <w:rsid w:val="7DC04F85"/>
    <w:rsid w:val="7E5D76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kern w:val="0"/>
      <w:sz w:val="30"/>
      <w:szCs w:val="20"/>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脚 Char"/>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2794</Words>
  <Characters>2923</Characters>
  <Lines>2</Lines>
  <Paragraphs>6</Paragraphs>
  <TotalTime>86</TotalTime>
  <ScaleCrop>false</ScaleCrop>
  <LinksUpToDate>false</LinksUpToDate>
  <CharactersWithSpaces>2938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断桥</cp:lastModifiedBy>
  <dcterms:modified xsi:type="dcterms:W3CDTF">2023-03-20T09:32:37Z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32CC35BE356F424C93F0D5559A495EED</vt:lpwstr>
  </property>
</Properties>
</file>