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cs="仿宋" w:asciiTheme="majorEastAsia" w:hAnsiTheme="majorEastAsia" w:eastAsiaTheme="majorEastAsia"/>
          <w:b/>
          <w:bCs/>
          <w:color w:val="auto"/>
          <w:sz w:val="32"/>
          <w:szCs w:val="32"/>
        </w:rPr>
      </w:pPr>
      <w:r>
        <w:rPr>
          <w:rFonts w:hint="eastAsia" w:cs="仿宋" w:asciiTheme="majorEastAsia" w:hAnsiTheme="majorEastAsia" w:eastAsiaTheme="majorEastAsia"/>
          <w:b/>
          <w:bCs/>
          <w:color w:val="auto"/>
          <w:sz w:val="32"/>
          <w:szCs w:val="32"/>
          <w:lang w:eastAsia="zh-CN"/>
        </w:rPr>
        <w:t>洛阳市</w:t>
      </w:r>
      <w:r>
        <w:rPr>
          <w:rFonts w:hint="eastAsia" w:cs="仿宋" w:asciiTheme="majorEastAsia" w:hAnsiTheme="majorEastAsia" w:eastAsiaTheme="majorEastAsia"/>
          <w:b/>
          <w:bCs/>
          <w:color w:val="auto"/>
          <w:sz w:val="32"/>
          <w:szCs w:val="32"/>
        </w:rPr>
        <w:t>S312线陆村十字口至游王段次差路路面</w:t>
      </w:r>
      <w:r>
        <w:rPr>
          <w:rFonts w:hint="eastAsia" w:cs="仿宋" w:asciiTheme="majorEastAsia" w:hAnsiTheme="majorEastAsia" w:eastAsiaTheme="majorEastAsia"/>
          <w:b/>
          <w:bCs/>
          <w:color w:val="auto"/>
          <w:sz w:val="32"/>
          <w:szCs w:val="32"/>
          <w:lang w:val="zh-CN"/>
        </w:rPr>
        <w:t>改造</w:t>
      </w:r>
      <w:r>
        <w:rPr>
          <w:rFonts w:hint="eastAsia" w:cs="仿宋" w:asciiTheme="majorEastAsia" w:hAnsiTheme="majorEastAsia" w:eastAsiaTheme="majorEastAsia"/>
          <w:b/>
          <w:bCs/>
          <w:color w:val="auto"/>
          <w:sz w:val="32"/>
          <w:szCs w:val="32"/>
        </w:rPr>
        <w:t>工程招标代理遴选公告</w:t>
      </w:r>
    </w:p>
    <w:p>
      <w:pPr>
        <w:pStyle w:val="2"/>
        <w:rPr>
          <w:color w:val="auto"/>
        </w:rPr>
      </w:pPr>
    </w:p>
    <w:p>
      <w:pPr>
        <w:spacing w:line="52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事业发展中心拟定于</w:t>
      </w:r>
      <w:r>
        <w:rPr>
          <w:rFonts w:ascii="仿宋" w:hAnsi="仿宋" w:eastAsia="仿宋" w:cs="仿宋"/>
          <w:b/>
          <w:color w:val="auto"/>
          <w:sz w:val="28"/>
          <w:szCs w:val="28"/>
          <w:u w:val="single"/>
        </w:rPr>
        <w:t xml:space="preserve"> 202</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年</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月</w:t>
      </w:r>
      <w:r>
        <w:rPr>
          <w:rFonts w:hint="eastAsia" w:ascii="仿宋" w:hAnsi="仿宋" w:eastAsia="仿宋" w:cs="仿宋"/>
          <w:b/>
          <w:color w:val="auto"/>
          <w:sz w:val="28"/>
          <w:szCs w:val="28"/>
          <w:u w:val="single"/>
          <w:lang w:val="en-US" w:eastAsia="zh-CN"/>
        </w:rPr>
        <w:t>24</w:t>
      </w:r>
      <w:r>
        <w:rPr>
          <w:rFonts w:hint="eastAsia" w:ascii="仿宋" w:hAnsi="仿宋" w:eastAsia="仿宋" w:cs="仿宋"/>
          <w:b/>
          <w:color w:val="auto"/>
          <w:sz w:val="28"/>
          <w:szCs w:val="28"/>
          <w:u w:val="single"/>
        </w:rPr>
        <w:t>日</w:t>
      </w:r>
      <w:r>
        <w:rPr>
          <w:rFonts w:hint="eastAsia" w:ascii="仿宋" w:hAnsi="仿宋" w:eastAsia="仿宋" w:cs="仿宋"/>
          <w:b/>
          <w:color w:val="auto"/>
          <w:sz w:val="28"/>
          <w:szCs w:val="28"/>
          <w:u w:val="single"/>
          <w:lang w:val="en-US" w:eastAsia="zh-CN"/>
        </w:rPr>
        <w:t>9</w:t>
      </w:r>
      <w:r>
        <w:rPr>
          <w:rFonts w:hint="eastAsia" w:ascii="仿宋" w:hAnsi="仿宋" w:eastAsia="仿宋" w:cs="仿宋"/>
          <w:b/>
          <w:color w:val="auto"/>
          <w:sz w:val="28"/>
          <w:szCs w:val="28"/>
          <w:u w:val="single"/>
        </w:rPr>
        <w:t>时</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0分</w:t>
      </w:r>
      <w:r>
        <w:rPr>
          <w:rFonts w:hint="eastAsia" w:ascii="仿宋" w:hAnsi="仿宋" w:eastAsia="仿宋" w:cs="仿宋"/>
          <w:b/>
          <w:color w:val="auto"/>
          <w:sz w:val="28"/>
          <w:szCs w:val="28"/>
        </w:rPr>
        <w:t>在</w:t>
      </w:r>
      <w:r>
        <w:rPr>
          <w:rFonts w:hint="eastAsia" w:ascii="仿宋" w:hAnsi="仿宋" w:eastAsia="仿宋" w:cs="仿宋"/>
          <w:b/>
          <w:color w:val="auto"/>
          <w:sz w:val="28"/>
          <w:szCs w:val="28"/>
          <w:u w:val="single"/>
        </w:rPr>
        <w:t>市中心办公楼</w:t>
      </w:r>
      <w:r>
        <w:rPr>
          <w:rFonts w:hint="eastAsia" w:ascii="仿宋" w:hAnsi="仿宋" w:eastAsia="仿宋" w:cs="仿宋"/>
          <w:b/>
          <w:color w:val="auto"/>
          <w:sz w:val="28"/>
          <w:szCs w:val="28"/>
          <w:u w:val="single"/>
          <w:lang w:val="en-US" w:eastAsia="zh-CN"/>
        </w:rPr>
        <w:t>615</w:t>
      </w:r>
      <w:r>
        <w:rPr>
          <w:rFonts w:hint="eastAsia" w:ascii="仿宋" w:hAnsi="仿宋" w:eastAsia="仿宋" w:cs="仿宋"/>
          <w:b/>
          <w:color w:val="auto"/>
          <w:sz w:val="28"/>
          <w:szCs w:val="28"/>
          <w:u w:val="single"/>
        </w:rPr>
        <w:t>室</w:t>
      </w:r>
      <w:r>
        <w:rPr>
          <w:rFonts w:hint="eastAsia" w:ascii="仿宋" w:hAnsi="仿宋" w:eastAsia="仿宋" w:cs="仿宋"/>
          <w:color w:val="auto"/>
          <w:sz w:val="28"/>
          <w:szCs w:val="28"/>
        </w:rPr>
        <w:t>召开</w:t>
      </w:r>
      <w:r>
        <w:rPr>
          <w:rFonts w:hint="eastAsia" w:ascii="仿宋" w:hAnsi="仿宋" w:eastAsia="仿宋" w:cs="仿宋"/>
          <w:b/>
          <w:bCs/>
          <w:color w:val="auto"/>
          <w:sz w:val="28"/>
          <w:szCs w:val="28"/>
          <w:u w:val="single"/>
          <w:lang w:eastAsia="zh-CN"/>
        </w:rPr>
        <w:t>洛阳市</w:t>
      </w:r>
      <w:r>
        <w:rPr>
          <w:rFonts w:hint="eastAsia" w:ascii="仿宋" w:hAnsi="仿宋" w:eastAsia="仿宋" w:cs="仿宋"/>
          <w:b/>
          <w:bCs/>
          <w:color w:val="auto"/>
          <w:sz w:val="28"/>
          <w:szCs w:val="28"/>
          <w:u w:val="single"/>
        </w:rPr>
        <w:t>S312线陆村十字口至游王段次差路路面</w:t>
      </w:r>
      <w:r>
        <w:rPr>
          <w:rFonts w:hint="eastAsia" w:ascii="仿宋" w:hAnsi="仿宋" w:eastAsia="仿宋" w:cs="仿宋"/>
          <w:b/>
          <w:bCs/>
          <w:color w:val="auto"/>
          <w:sz w:val="28"/>
          <w:szCs w:val="28"/>
          <w:u w:val="single"/>
          <w:lang w:val="zh-CN"/>
        </w:rPr>
        <w:t>改造</w:t>
      </w:r>
      <w:r>
        <w:rPr>
          <w:rFonts w:hint="eastAsia" w:ascii="仿宋" w:hAnsi="仿宋" w:eastAsia="仿宋" w:cs="仿宋"/>
          <w:b/>
          <w:bCs/>
          <w:color w:val="auto"/>
          <w:sz w:val="28"/>
          <w:szCs w:val="28"/>
          <w:u w:val="single"/>
        </w:rPr>
        <w:t>工程</w:t>
      </w:r>
      <w:r>
        <w:rPr>
          <w:rFonts w:hint="eastAsia" w:ascii="仿宋" w:hAnsi="仿宋" w:eastAsia="仿宋" w:cs="仿宋"/>
          <w:color w:val="auto"/>
          <w:sz w:val="28"/>
          <w:szCs w:val="28"/>
        </w:rPr>
        <w:t>招标代理</w:t>
      </w:r>
      <w:r>
        <w:rPr>
          <w:rFonts w:hint="eastAsia" w:ascii="仿宋" w:hAnsi="仿宋" w:eastAsia="仿宋" w:cs="仿宋"/>
          <w:color w:val="auto"/>
          <w:sz w:val="28"/>
          <w:szCs w:val="28"/>
          <w:lang w:eastAsia="zh-CN"/>
        </w:rPr>
        <w:t>机构</w:t>
      </w:r>
      <w:r>
        <w:rPr>
          <w:rFonts w:hint="eastAsia" w:ascii="仿宋" w:hAnsi="仿宋" w:eastAsia="仿宋" w:cs="仿宋"/>
          <w:color w:val="auto"/>
          <w:sz w:val="28"/>
          <w:szCs w:val="28"/>
        </w:rPr>
        <w:t>遴选会议，欢迎符合要求的招标代理机构参加此次遴选活动，现将遴选内容公告如下：</w:t>
      </w:r>
    </w:p>
    <w:p>
      <w:pPr>
        <w:pStyle w:val="2"/>
        <w:numPr>
          <w:ilvl w:val="0"/>
          <w:numId w:val="1"/>
        </w:numPr>
        <w:spacing w:line="520" w:lineRule="exact"/>
        <w:rPr>
          <w:rFonts w:ascii="仿宋" w:hAnsi="仿宋" w:eastAsia="仿宋" w:cs="仿宋"/>
          <w:b/>
          <w:color w:val="auto"/>
          <w:szCs w:val="28"/>
        </w:rPr>
      </w:pPr>
      <w:r>
        <w:rPr>
          <w:rFonts w:hint="eastAsia" w:ascii="仿宋" w:hAnsi="仿宋" w:eastAsia="仿宋" w:cs="仿宋"/>
          <w:b/>
          <w:color w:val="auto"/>
          <w:szCs w:val="28"/>
        </w:rPr>
        <w:t>招标代理工作范围和项目概况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1、项目名称：</w:t>
      </w:r>
      <w:r>
        <w:rPr>
          <w:rFonts w:hint="eastAsia" w:ascii="仿宋" w:hAnsi="仿宋" w:eastAsia="仿宋" w:cs="仿宋"/>
          <w:color w:val="auto"/>
          <w:sz w:val="28"/>
          <w:szCs w:val="28"/>
          <w:lang w:eastAsia="zh-CN"/>
        </w:rPr>
        <w:t>洛阳市</w:t>
      </w:r>
      <w:r>
        <w:rPr>
          <w:rFonts w:hint="eastAsia" w:ascii="仿宋" w:hAnsi="仿宋" w:eastAsia="仿宋" w:cs="仿宋"/>
          <w:color w:val="auto"/>
          <w:sz w:val="28"/>
          <w:szCs w:val="28"/>
        </w:rPr>
        <w:t>S312线陆村十字口至游王段次差路路面</w:t>
      </w:r>
      <w:r>
        <w:rPr>
          <w:rFonts w:hint="eastAsia" w:ascii="仿宋" w:hAnsi="仿宋" w:eastAsia="仿宋" w:cs="仿宋"/>
          <w:color w:val="auto"/>
          <w:sz w:val="28"/>
          <w:szCs w:val="28"/>
          <w:lang w:val="zh-CN"/>
        </w:rPr>
        <w:t>改造</w:t>
      </w:r>
      <w:r>
        <w:rPr>
          <w:rFonts w:hint="eastAsia" w:ascii="仿宋" w:hAnsi="仿宋" w:eastAsia="仿宋" w:cs="仿宋"/>
          <w:color w:val="auto"/>
          <w:sz w:val="28"/>
          <w:szCs w:val="28"/>
        </w:rPr>
        <w:t>工程</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2、委托招标代理范围：</w:t>
      </w:r>
      <w:r>
        <w:rPr>
          <w:rFonts w:hint="eastAsia" w:ascii="仿宋" w:hAnsi="仿宋" w:eastAsia="仿宋" w:cs="仿宋"/>
          <w:color w:val="auto"/>
          <w:sz w:val="28"/>
          <w:szCs w:val="28"/>
          <w:u w:val="single"/>
          <w:lang w:eastAsia="zh-CN"/>
        </w:rPr>
        <w:t>洛阳市</w:t>
      </w:r>
      <w:r>
        <w:rPr>
          <w:rFonts w:hint="eastAsia" w:ascii="仿宋" w:hAnsi="仿宋" w:eastAsia="仿宋" w:cs="仿宋"/>
          <w:color w:val="auto"/>
          <w:sz w:val="28"/>
          <w:szCs w:val="28"/>
          <w:u w:val="single"/>
        </w:rPr>
        <w:t>S312线陆村十字口至游王段次差路路面</w:t>
      </w:r>
      <w:r>
        <w:rPr>
          <w:rFonts w:hint="eastAsia" w:ascii="仿宋" w:hAnsi="仿宋" w:eastAsia="仿宋" w:cs="仿宋"/>
          <w:color w:val="auto"/>
          <w:sz w:val="28"/>
          <w:szCs w:val="28"/>
          <w:u w:val="single"/>
          <w:lang w:val="zh-CN"/>
        </w:rPr>
        <w:t>改造</w:t>
      </w:r>
      <w:r>
        <w:rPr>
          <w:rFonts w:hint="eastAsia" w:ascii="仿宋" w:hAnsi="仿宋" w:eastAsia="仿宋" w:cs="仿宋"/>
          <w:color w:val="auto"/>
          <w:sz w:val="28"/>
          <w:szCs w:val="28"/>
          <w:u w:val="single"/>
        </w:rPr>
        <w:t>工程监理、质量检测、水土保持、交竣工检测</w:t>
      </w:r>
      <w:r>
        <w:rPr>
          <w:rFonts w:hint="eastAsia" w:ascii="仿宋" w:hAnsi="仿宋" w:eastAsia="仿宋" w:cs="仿宋"/>
          <w:color w:val="auto"/>
          <w:sz w:val="28"/>
          <w:szCs w:val="28"/>
        </w:rPr>
        <w:t>等。</w:t>
      </w:r>
    </w:p>
    <w:p>
      <w:p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3、项目概况：</w:t>
      </w:r>
      <w:r>
        <w:rPr>
          <w:rFonts w:hint="eastAsia" w:ascii="仿宋_GB2312" w:hAnsi="仿宋_GB2312" w:eastAsia="仿宋_GB2312" w:cs="仿宋_GB2312"/>
          <w:color w:val="auto"/>
          <w:sz w:val="28"/>
          <w:szCs w:val="28"/>
          <w:lang w:eastAsia="zh-CN"/>
        </w:rPr>
        <w:t>本</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eastAsia="zh-CN"/>
        </w:rPr>
        <w:t>为路面改造工程，</w:t>
      </w:r>
      <w:r>
        <w:rPr>
          <w:rFonts w:hint="eastAsia" w:ascii="仿宋_GB2312" w:hAnsi="仿宋" w:eastAsia="仿宋_GB2312"/>
          <w:color w:val="auto"/>
          <w:sz w:val="28"/>
          <w:szCs w:val="28"/>
          <w:lang w:val="zh-CN"/>
        </w:rPr>
        <w:t>起点位于孟津区会盟镇陆村十字口，终点位于孟津区游王村，二级公路，设计速度40km/h，路线全长13.284km。</w:t>
      </w:r>
    </w:p>
    <w:p>
      <w:pPr>
        <w:pStyle w:val="2"/>
        <w:spacing w:line="520" w:lineRule="exact"/>
        <w:ind w:firstLine="560" w:firstLineChars="200"/>
        <w:rPr>
          <w:rFonts w:hint="default" w:ascii="仿宋" w:hAnsi="仿宋" w:eastAsia="仿宋" w:cs="仿宋"/>
          <w:color w:val="auto"/>
          <w:kern w:val="2"/>
          <w:sz w:val="28"/>
          <w:szCs w:val="28"/>
          <w:lang w:val="en-US"/>
        </w:rPr>
      </w:pPr>
      <w:r>
        <w:rPr>
          <w:rFonts w:hint="eastAsia" w:ascii="仿宋" w:hAnsi="仿宋" w:eastAsia="仿宋" w:cs="仿宋"/>
          <w:color w:val="auto"/>
          <w:kern w:val="2"/>
          <w:sz w:val="28"/>
          <w:szCs w:val="28"/>
        </w:rPr>
        <w:t>4、资金来源及预算金额：财政资金</w:t>
      </w:r>
      <w:r>
        <w:rPr>
          <w:rFonts w:hint="eastAsia" w:ascii="仿宋" w:hAnsi="仿宋" w:eastAsia="仿宋" w:cs="仿宋"/>
          <w:color w:val="auto"/>
          <w:kern w:val="2"/>
          <w:sz w:val="28"/>
          <w:szCs w:val="28"/>
          <w:lang w:eastAsia="zh-CN"/>
        </w:rPr>
        <w:t>。本项目</w:t>
      </w:r>
      <w:r>
        <w:rPr>
          <w:rFonts w:hint="eastAsia" w:ascii="仿宋_GB2312" w:hAnsi="仿宋" w:eastAsia="仿宋_GB2312"/>
          <w:color w:val="auto"/>
          <w:sz w:val="28"/>
          <w:szCs w:val="28"/>
          <w:lang w:val="zh-CN"/>
        </w:rPr>
        <w:t>批复施工图预算为</w:t>
      </w:r>
      <w:r>
        <w:rPr>
          <w:rFonts w:hint="eastAsia" w:ascii="仿宋_GB2312" w:hAnsi="仿宋" w:eastAsia="仿宋_GB2312"/>
          <w:color w:val="auto"/>
          <w:sz w:val="28"/>
          <w:szCs w:val="28"/>
          <w:lang w:val="en-US" w:eastAsia="zh-CN"/>
        </w:rPr>
        <w:t>6205.76万元，其中建安费5724.57万元。监理、质量检测、水土保持、交竣工检测</w:t>
      </w:r>
      <w:r>
        <w:rPr>
          <w:rFonts w:hint="eastAsia" w:ascii="仿宋_GB2312" w:hAnsi="仿宋"/>
          <w:color w:val="auto"/>
          <w:sz w:val="28"/>
          <w:szCs w:val="28"/>
          <w:lang w:val="en-US" w:eastAsia="zh-CN"/>
        </w:rPr>
        <w:t>等，预算金额175万元。</w:t>
      </w:r>
    </w:p>
    <w:p>
      <w:pPr>
        <w:pStyle w:val="2"/>
        <w:spacing w:line="52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2"/>
        <w:spacing w:line="520" w:lineRule="exact"/>
        <w:ind w:firstLine="602" w:firstLineChars="200"/>
        <w:rPr>
          <w:rFonts w:ascii="仿宋" w:hAnsi="仿宋" w:eastAsia="仿宋" w:cs="仿宋"/>
          <w:b/>
          <w:color w:val="auto"/>
          <w:szCs w:val="28"/>
        </w:rPr>
      </w:pPr>
      <w:r>
        <w:rPr>
          <w:rFonts w:hint="eastAsia" w:ascii="仿宋" w:hAnsi="仿宋" w:eastAsia="仿宋" w:cs="仿宋"/>
          <w:b/>
          <w:color w:val="auto"/>
          <w:szCs w:val="28"/>
        </w:rPr>
        <w:t>二、招标代理机构资格要求及代理工作要求</w:t>
      </w:r>
    </w:p>
    <w:p>
      <w:pPr>
        <w:pStyle w:val="2"/>
        <w:spacing w:line="520" w:lineRule="exact"/>
        <w:ind w:firstLine="600" w:firstLineChars="200"/>
        <w:rPr>
          <w:rFonts w:ascii="仿宋" w:hAnsi="仿宋" w:eastAsia="仿宋" w:cs="仿宋"/>
          <w:color w:val="auto"/>
          <w:kern w:val="2"/>
          <w:sz w:val="28"/>
          <w:szCs w:val="28"/>
        </w:rPr>
      </w:pPr>
      <w:r>
        <w:rPr>
          <w:rFonts w:ascii="仿宋" w:hAnsi="仿宋" w:eastAsia="仿宋" w:cs="仿宋"/>
          <w:color w:val="auto"/>
          <w:szCs w:val="28"/>
        </w:rPr>
        <w:t>1</w:t>
      </w:r>
      <w:r>
        <w:rPr>
          <w:rFonts w:hint="eastAsia" w:ascii="仿宋" w:hAnsi="仿宋" w:eastAsia="仿宋" w:cs="仿宋"/>
          <w:color w:val="auto"/>
          <w:szCs w:val="28"/>
        </w:rPr>
        <w:t>、</w:t>
      </w:r>
      <w:r>
        <w:rPr>
          <w:rFonts w:hint="eastAsia" w:ascii="仿宋" w:hAnsi="仿宋" w:eastAsia="仿宋" w:cs="仿宋"/>
          <w:color w:val="auto"/>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2"/>
        <w:spacing w:line="52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2"/>
        <w:spacing w:line="52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3、须在中国招标投标公共服务平台、河南省电子招标投标公共服务平台、 洛阳市政府采购网和洛阳市公共资源交易中心网站登记备案（截图加盖公章）；</w:t>
      </w:r>
    </w:p>
    <w:p>
      <w:pPr>
        <w:pStyle w:val="2"/>
        <w:spacing w:line="52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2"/>
        <w:spacing w:line="520" w:lineRule="exact"/>
        <w:ind w:firstLine="560" w:firstLineChars="200"/>
        <w:rPr>
          <w:rFonts w:hint="eastAsia" w:ascii="仿宋" w:hAnsi="仿宋" w:eastAsia="仿宋" w:cs="仿宋"/>
          <w:color w:val="auto"/>
          <w:kern w:val="2"/>
          <w:sz w:val="28"/>
          <w:szCs w:val="28"/>
        </w:rPr>
      </w:pPr>
      <w:r>
        <w:rPr>
          <w:rFonts w:ascii="仿宋" w:hAnsi="仿宋" w:eastAsia="仿宋" w:cs="仿宋"/>
          <w:color w:val="auto"/>
          <w:sz w:val="28"/>
          <w:szCs w:val="28"/>
        </w:rPr>
        <w:t>5</w:t>
      </w:r>
      <w:r>
        <w:rPr>
          <w:rFonts w:hint="eastAsia" w:ascii="仿宋" w:hAnsi="仿宋" w:eastAsia="仿宋" w:cs="仿宋"/>
          <w:color w:val="auto"/>
          <w:sz w:val="28"/>
          <w:szCs w:val="28"/>
        </w:rPr>
        <w:t>、</w:t>
      </w:r>
      <w:r>
        <w:rPr>
          <w:rFonts w:hint="eastAsia" w:ascii="仿宋" w:hAnsi="仿宋" w:eastAsia="仿宋" w:cs="仿宋"/>
          <w:color w:val="auto"/>
          <w:kern w:val="2"/>
          <w:sz w:val="28"/>
          <w:szCs w:val="28"/>
          <w:lang w:val="en-US" w:eastAsia="zh-CN"/>
        </w:rPr>
        <w:t>2020年以来</w:t>
      </w:r>
      <w:r>
        <w:rPr>
          <w:rFonts w:hint="eastAsia" w:ascii="仿宋" w:hAnsi="仿宋" w:eastAsia="仿宋" w:cs="仿宋"/>
          <w:color w:val="auto"/>
          <w:kern w:val="2"/>
          <w:sz w:val="28"/>
          <w:szCs w:val="28"/>
        </w:rPr>
        <w:t>不少于</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项</w:t>
      </w:r>
      <w:r>
        <w:rPr>
          <w:rFonts w:hint="eastAsia" w:ascii="仿宋" w:hAnsi="仿宋" w:eastAsia="仿宋" w:cs="仿宋"/>
          <w:color w:val="auto"/>
          <w:kern w:val="2"/>
          <w:sz w:val="28"/>
          <w:szCs w:val="28"/>
          <w:lang w:eastAsia="zh-CN"/>
        </w:rPr>
        <w:t>工程基建类</w:t>
      </w:r>
      <w:r>
        <w:rPr>
          <w:rFonts w:hint="eastAsia" w:ascii="仿宋" w:hAnsi="仿宋" w:eastAsia="仿宋" w:cs="仿宋"/>
          <w:color w:val="auto"/>
          <w:kern w:val="2"/>
          <w:sz w:val="28"/>
          <w:szCs w:val="28"/>
        </w:rPr>
        <w:t>招标业绩证明资料（加盖公章的合同复印件）；</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rPr>
        <w:t>、人员配备：拟投入本项目招标工作的专职人员不少于</w:t>
      </w:r>
      <w:r>
        <w:rPr>
          <w:rFonts w:ascii="仿宋" w:hAnsi="仿宋" w:eastAsia="仿宋" w:cs="仿宋"/>
          <w:color w:val="auto"/>
          <w:sz w:val="28"/>
          <w:szCs w:val="28"/>
        </w:rPr>
        <w:t>2</w:t>
      </w:r>
      <w:r>
        <w:rPr>
          <w:rFonts w:hint="eastAsia" w:ascii="仿宋" w:hAnsi="仿宋" w:eastAsia="仿宋" w:cs="仿宋"/>
          <w:color w:val="auto"/>
          <w:sz w:val="28"/>
          <w:szCs w:val="28"/>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7</w:t>
      </w:r>
      <w:r>
        <w:rPr>
          <w:rFonts w:hint="eastAsia" w:ascii="仿宋" w:hAnsi="仿宋" w:eastAsia="仿宋" w:cs="仿宋"/>
          <w:color w:val="auto"/>
          <w:sz w:val="28"/>
          <w:szCs w:val="28"/>
        </w:rPr>
        <w:t>、服务方案：</w:t>
      </w:r>
    </w:p>
    <w:p>
      <w:pPr>
        <w:spacing w:line="52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2"/>
        <w:numPr>
          <w:ilvl w:val="0"/>
          <w:numId w:val="2"/>
        </w:numPr>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代理工作要求：</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1</w:t>
      </w:r>
      <w:r>
        <w:rPr>
          <w:rFonts w:hint="eastAsia" w:ascii="仿宋" w:hAnsi="仿宋" w:eastAsia="仿宋" w:cs="仿宋"/>
          <w:color w:val="auto"/>
          <w:sz w:val="28"/>
          <w:szCs w:val="28"/>
        </w:rPr>
        <w:t>）代理机构须承诺在本项目招标工作过程中遵守招投标相关规定能够公开、公平、公正、专业的从事本项目招标工作。</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2</w:t>
      </w:r>
      <w:r>
        <w:rPr>
          <w:rFonts w:hint="eastAsia" w:ascii="仿宋" w:hAnsi="仿宋" w:eastAsia="仿宋" w:cs="仿宋"/>
          <w:color w:val="auto"/>
          <w:sz w:val="28"/>
          <w:szCs w:val="28"/>
        </w:rPr>
        <w:t>）代理机构须承诺合理规划招标工作的服务响应时间，做到如下招标工作的响应时限要求：</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编制招标文件时限要求：接到业主通知</w:t>
      </w:r>
      <w:r>
        <w:rPr>
          <w:rFonts w:ascii="仿宋" w:hAnsi="仿宋" w:eastAsia="仿宋" w:cs="仿宋"/>
          <w:color w:val="auto"/>
          <w:sz w:val="28"/>
          <w:szCs w:val="28"/>
        </w:rPr>
        <w:t>5</w:t>
      </w:r>
      <w:r>
        <w:rPr>
          <w:rFonts w:hint="eastAsia" w:ascii="仿宋" w:hAnsi="仿宋" w:eastAsia="仿宋" w:cs="仿宋"/>
          <w:color w:val="auto"/>
          <w:sz w:val="28"/>
          <w:szCs w:val="28"/>
        </w:rPr>
        <w:t>个工作日内完成；</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招标相关资料审查报备时限要求：</w:t>
      </w:r>
      <w:r>
        <w:rPr>
          <w:rFonts w:ascii="仿宋" w:hAnsi="仿宋" w:eastAsia="仿宋" w:cs="仿宋"/>
          <w:color w:val="auto"/>
          <w:sz w:val="28"/>
          <w:szCs w:val="28"/>
        </w:rPr>
        <w:t>3</w:t>
      </w:r>
      <w:r>
        <w:rPr>
          <w:rFonts w:hint="eastAsia" w:ascii="仿宋" w:hAnsi="仿宋" w:eastAsia="仿宋" w:cs="仿宋"/>
          <w:color w:val="auto"/>
          <w:sz w:val="28"/>
          <w:szCs w:val="28"/>
        </w:rPr>
        <w:t>个工作日内完成；</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递交招标汇编资料时限要求：开标后</w:t>
      </w:r>
      <w:r>
        <w:rPr>
          <w:rFonts w:ascii="仿宋" w:hAnsi="仿宋" w:eastAsia="仿宋" w:cs="仿宋"/>
          <w:color w:val="auto"/>
          <w:sz w:val="28"/>
          <w:szCs w:val="28"/>
        </w:rPr>
        <w:t>5</w:t>
      </w:r>
      <w:r>
        <w:rPr>
          <w:rFonts w:hint="eastAsia" w:ascii="仿宋" w:hAnsi="仿宋" w:eastAsia="仿宋" w:cs="仿宋"/>
          <w:color w:val="auto"/>
          <w:sz w:val="28"/>
          <w:szCs w:val="28"/>
        </w:rPr>
        <w:t>个工作日内完成。</w:t>
      </w:r>
    </w:p>
    <w:p>
      <w:pPr>
        <w:pStyle w:val="2"/>
        <w:spacing w:line="52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9、报价表（原件，格式详见附件）：</w:t>
      </w:r>
      <w:r>
        <w:rPr>
          <w:rFonts w:hint="eastAsia" w:ascii="仿宋" w:hAnsi="仿宋" w:eastAsia="仿宋" w:cs="仿宋"/>
          <w:b/>
          <w:color w:val="auto"/>
          <w:sz w:val="28"/>
          <w:szCs w:val="28"/>
        </w:rPr>
        <w:t>招标代理收费标准参照财政局下发洛财购【</w:t>
      </w:r>
      <w:r>
        <w:rPr>
          <w:rFonts w:ascii="仿宋" w:hAnsi="仿宋" w:eastAsia="仿宋" w:cs="仿宋"/>
          <w:b/>
          <w:color w:val="auto"/>
          <w:sz w:val="28"/>
          <w:szCs w:val="28"/>
        </w:rPr>
        <w:t>2019</w:t>
      </w:r>
      <w:r>
        <w:rPr>
          <w:rFonts w:hint="eastAsia" w:ascii="仿宋" w:hAnsi="仿宋" w:eastAsia="仿宋" w:cs="仿宋"/>
          <w:b/>
          <w:color w:val="auto"/>
          <w:sz w:val="28"/>
          <w:szCs w:val="28"/>
        </w:rPr>
        <w:t>】</w:t>
      </w:r>
      <w:r>
        <w:rPr>
          <w:rFonts w:ascii="仿宋" w:hAnsi="仿宋" w:eastAsia="仿宋" w:cs="仿宋"/>
          <w:b/>
          <w:color w:val="auto"/>
          <w:sz w:val="28"/>
          <w:szCs w:val="28"/>
        </w:rPr>
        <w:t>3</w:t>
      </w:r>
      <w:r>
        <w:rPr>
          <w:rFonts w:hint="eastAsia" w:ascii="仿宋" w:hAnsi="仿宋" w:eastAsia="仿宋" w:cs="仿宋"/>
          <w:b/>
          <w:color w:val="auto"/>
          <w:sz w:val="28"/>
          <w:szCs w:val="28"/>
        </w:rPr>
        <w:t>号文标准，报招标代理服务收费优惠率。</w:t>
      </w:r>
    </w:p>
    <w:p>
      <w:pPr>
        <w:pStyle w:val="2"/>
        <w:spacing w:line="52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三、申请人有下列情形之一的将否定本次遴选资审：</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、被依法取消经营资格的；</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、被依法责令停业且在处罚期内的；</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、财产依法被接管、冻结的；</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、涂改、出租、出借、转让资格证书的；</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5</w:t>
      </w:r>
      <w:r>
        <w:rPr>
          <w:rFonts w:hint="eastAsia" w:ascii="仿宋" w:hAnsi="仿宋" w:eastAsia="仿宋" w:cs="仿宋"/>
          <w:color w:val="auto"/>
          <w:sz w:val="28"/>
          <w:szCs w:val="28"/>
        </w:rPr>
        <w:t>、近两年因弄虚作假行为，受到行政或者刑事处罚的；</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rPr>
        <w:t>、近两年被交通建设领域有过不良举报、串标等不良行为。</w:t>
      </w:r>
    </w:p>
    <w:p>
      <w:pPr>
        <w:pStyle w:val="2"/>
        <w:spacing w:line="52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四、报名与遴选文件获取</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1.时间：202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日8时30分至202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日18时00分；</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2.地点：洛阳市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事业发展中心702室；</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3.遴选文件获取方式：报名后领取遴选文件。</w:t>
      </w:r>
    </w:p>
    <w:p>
      <w:pPr>
        <w:pStyle w:val="2"/>
        <w:spacing w:line="52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报名时须</w:t>
      </w:r>
      <w:r>
        <w:rPr>
          <w:rFonts w:hint="eastAsia" w:ascii="仿宋" w:hAnsi="仿宋" w:eastAsia="仿宋" w:cs="仿宋"/>
          <w:color w:val="auto"/>
          <w:sz w:val="28"/>
          <w:szCs w:val="28"/>
        </w:rPr>
        <w:t>携带：①</w:t>
      </w:r>
      <w:r>
        <w:rPr>
          <w:rFonts w:ascii="仿宋" w:hAnsi="仿宋" w:eastAsia="仿宋" w:cs="仿宋"/>
          <w:color w:val="auto"/>
          <w:sz w:val="28"/>
          <w:szCs w:val="28"/>
        </w:rPr>
        <w:t>法定代表人本人身份证或授权代理人携带本人身份证及授权委托书</w:t>
      </w:r>
      <w:r>
        <w:rPr>
          <w:rFonts w:hint="eastAsia" w:ascii="仿宋" w:hAnsi="仿宋" w:eastAsia="仿宋" w:cs="仿宋"/>
          <w:color w:val="auto"/>
          <w:sz w:val="28"/>
          <w:szCs w:val="28"/>
        </w:rPr>
        <w:t>（</w:t>
      </w:r>
      <w:r>
        <w:rPr>
          <w:rFonts w:ascii="仿宋" w:hAnsi="仿宋" w:eastAsia="仿宋" w:cs="仿宋"/>
          <w:color w:val="auto"/>
          <w:sz w:val="28"/>
          <w:szCs w:val="28"/>
        </w:rPr>
        <w:t>原件</w:t>
      </w:r>
      <w:r>
        <w:rPr>
          <w:rFonts w:hint="eastAsia" w:ascii="仿宋" w:hAnsi="仿宋" w:eastAsia="仿宋" w:cs="仿宋"/>
          <w:color w:val="auto"/>
          <w:sz w:val="28"/>
          <w:szCs w:val="28"/>
        </w:rPr>
        <w:t>）、②</w:t>
      </w:r>
      <w:r>
        <w:rPr>
          <w:rFonts w:ascii="仿宋" w:hAnsi="仿宋" w:eastAsia="仿宋" w:cs="仿宋"/>
          <w:color w:val="auto"/>
          <w:sz w:val="28"/>
          <w:szCs w:val="28"/>
        </w:rPr>
        <w:t>营业执照、税务登记、组织机构代码证（或三证合一）</w:t>
      </w:r>
      <w:r>
        <w:rPr>
          <w:rFonts w:hint="eastAsia" w:ascii="仿宋" w:hAnsi="仿宋" w:eastAsia="仿宋" w:cs="仿宋"/>
          <w:color w:val="auto"/>
          <w:sz w:val="28"/>
          <w:szCs w:val="28"/>
        </w:rPr>
        <w:t>原件</w:t>
      </w:r>
      <w:r>
        <w:rPr>
          <w:rFonts w:hint="eastAsia" w:ascii="仿宋" w:hAnsi="仿宋" w:eastAsia="仿宋" w:cs="仿宋"/>
          <w:color w:val="auto"/>
          <w:sz w:val="28"/>
          <w:szCs w:val="28"/>
          <w:lang w:eastAsia="zh-CN"/>
        </w:rPr>
        <w:t>或复印件加盖公章</w:t>
      </w:r>
      <w:r>
        <w:rPr>
          <w:rFonts w:hint="eastAsia" w:ascii="仿宋" w:hAnsi="仿宋" w:eastAsia="仿宋" w:cs="仿宋"/>
          <w:color w:val="auto"/>
          <w:sz w:val="28"/>
          <w:szCs w:val="28"/>
        </w:rPr>
        <w:t>。</w:t>
      </w:r>
    </w:p>
    <w:p>
      <w:pPr>
        <w:pStyle w:val="2"/>
        <w:spacing w:line="52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五、遴选响应文件的递交及开标</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1.递交响应文件的截止时间(开标时间):202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2.地点：洛阳市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事业发展中心（涧西区南昌路172号）</w:t>
      </w:r>
      <w:r>
        <w:rPr>
          <w:rFonts w:hint="eastAsia" w:ascii="仿宋" w:hAnsi="仿宋" w:eastAsia="仿宋" w:cs="仿宋"/>
          <w:color w:val="auto"/>
          <w:sz w:val="28"/>
          <w:szCs w:val="28"/>
          <w:lang w:val="en-US" w:eastAsia="zh-CN"/>
        </w:rPr>
        <w:t>615</w:t>
      </w:r>
      <w:r>
        <w:rPr>
          <w:rFonts w:hint="eastAsia" w:ascii="仿宋" w:hAnsi="仿宋" w:eastAsia="仿宋" w:cs="仿宋"/>
          <w:color w:val="auto"/>
          <w:sz w:val="28"/>
          <w:szCs w:val="28"/>
        </w:rPr>
        <w:t>会议室。</w:t>
      </w:r>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已报名的单位递交相关遴选响应纸质文件（包括正本1份，副本2份），参与遴选的单位对递交资料的合法性、真实性、完整性、准确性负法律责任。</w:t>
      </w:r>
    </w:p>
    <w:p>
      <w:pPr>
        <w:pStyle w:val="2"/>
        <w:spacing w:line="52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六、评审办法</w:t>
      </w:r>
      <w:bookmarkStart w:id="0" w:name="_Toc14801"/>
    </w:p>
    <w:p>
      <w:pPr>
        <w:pStyle w:val="2"/>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本次遴选采用综合评分法，中心法审科全程监督招标代理遴选工作程序及纪律；遴选评审工作当天将从洛阳市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评审办法详细内容如下表：</w:t>
      </w:r>
    </w:p>
    <w:p>
      <w:pPr>
        <w:pStyle w:val="2"/>
        <w:spacing w:line="420" w:lineRule="exact"/>
        <w:jc w:val="center"/>
        <w:rPr>
          <w:rFonts w:cs="宋体"/>
          <w:b/>
          <w:bCs/>
          <w:color w:val="auto"/>
        </w:rPr>
      </w:pPr>
    </w:p>
    <w:p>
      <w:pPr>
        <w:rPr>
          <w:rFonts w:cs="宋体"/>
          <w:b/>
          <w:bCs/>
          <w:color w:val="auto"/>
        </w:rPr>
      </w:pPr>
      <w:r>
        <w:rPr>
          <w:rFonts w:hint="eastAsia" w:cs="宋体"/>
          <w:b/>
          <w:bCs/>
          <w:color w:val="auto"/>
        </w:rPr>
        <w:br w:type="page"/>
      </w:r>
    </w:p>
    <w:p>
      <w:pPr>
        <w:pStyle w:val="2"/>
        <w:spacing w:line="420" w:lineRule="exact"/>
        <w:jc w:val="center"/>
        <w:rPr>
          <w:color w:val="auto"/>
        </w:rPr>
      </w:pPr>
      <w:r>
        <w:rPr>
          <w:rFonts w:hint="eastAsia" w:cs="宋体"/>
          <w:b/>
          <w:bCs/>
          <w:color w:val="auto"/>
        </w:rPr>
        <w:t>招标代理机构遴选详细评审表</w:t>
      </w:r>
    </w:p>
    <w:tbl>
      <w:tblPr>
        <w:tblStyle w:val="7"/>
        <w:tblW w:w="10499" w:type="dxa"/>
        <w:jc w:val="center"/>
        <w:tblLayout w:type="autofit"/>
        <w:tblCellMar>
          <w:top w:w="0" w:type="dxa"/>
          <w:left w:w="108" w:type="dxa"/>
          <w:bottom w:w="0" w:type="dxa"/>
          <w:right w:w="108" w:type="dxa"/>
        </w:tblCellMar>
      </w:tblPr>
      <w:tblGrid>
        <w:gridCol w:w="788"/>
        <w:gridCol w:w="1870"/>
        <w:gridCol w:w="6840"/>
        <w:gridCol w:w="1001"/>
      </w:tblGrid>
      <w:tr>
        <w:tblPrEx>
          <w:tblCellMar>
            <w:top w:w="0" w:type="dxa"/>
            <w:left w:w="108" w:type="dxa"/>
            <w:bottom w:w="0" w:type="dxa"/>
            <w:right w:w="108" w:type="dxa"/>
          </w:tblCellMar>
        </w:tblPrEx>
        <w:trPr>
          <w:trHeight w:val="454" w:hRule="atLeast"/>
          <w:jc w:val="center"/>
        </w:trPr>
        <w:tc>
          <w:tcPr>
            <w:tcW w:w="7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187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评分项</w:t>
            </w:r>
          </w:p>
        </w:tc>
        <w:tc>
          <w:tcPr>
            <w:tcW w:w="684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评审因素</w:t>
            </w:r>
          </w:p>
        </w:tc>
        <w:tc>
          <w:tcPr>
            <w:tcW w:w="100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得分</w:t>
            </w:r>
          </w:p>
        </w:tc>
      </w:tr>
      <w:tr>
        <w:tblPrEx>
          <w:tblCellMar>
            <w:top w:w="0" w:type="dxa"/>
            <w:left w:w="108" w:type="dxa"/>
            <w:bottom w:w="0" w:type="dxa"/>
            <w:right w:w="108" w:type="dxa"/>
          </w:tblCellMar>
        </w:tblPrEx>
        <w:trPr>
          <w:trHeight w:val="565" w:hRule="atLeast"/>
          <w:jc w:val="center"/>
        </w:trPr>
        <w:tc>
          <w:tcPr>
            <w:tcW w:w="788" w:type="dxa"/>
            <w:vMerge w:val="restart"/>
            <w:tcBorders>
              <w:top w:val="nil"/>
              <w:left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ascii="仿宋" w:hAnsi="仿宋" w:eastAsia="仿宋" w:cs="宋体"/>
                <w:color w:val="auto"/>
                <w:kern w:val="0"/>
                <w:sz w:val="24"/>
              </w:rPr>
              <w:t>1</w:t>
            </w:r>
          </w:p>
        </w:tc>
        <w:tc>
          <w:tcPr>
            <w:tcW w:w="1870" w:type="dxa"/>
            <w:vMerge w:val="restart"/>
            <w:tcBorders>
              <w:top w:val="nil"/>
              <w:left w:val="single" w:color="auto" w:sz="4" w:space="0"/>
              <w:right w:val="single" w:color="auto" w:sz="4" w:space="0"/>
            </w:tcBorders>
            <w:noWrap/>
            <w:vAlign w:val="center"/>
          </w:tcPr>
          <w:p>
            <w:pPr>
              <w:widowControl/>
              <w:spacing w:line="360" w:lineRule="auto"/>
              <w:jc w:val="center"/>
              <w:rPr>
                <w:rFonts w:ascii="仿宋" w:hAnsi="仿宋" w:eastAsia="仿宋" w:cs="宋体"/>
                <w:color w:val="auto"/>
                <w:spacing w:val="-10"/>
                <w:kern w:val="0"/>
                <w:sz w:val="24"/>
              </w:rPr>
            </w:pPr>
            <w:r>
              <w:rPr>
                <w:rFonts w:hint="eastAsia" w:ascii="仿宋" w:hAnsi="仿宋" w:eastAsia="仿宋" w:cs="宋体"/>
                <w:color w:val="auto"/>
                <w:spacing w:val="-10"/>
                <w:kern w:val="0"/>
                <w:sz w:val="24"/>
              </w:rPr>
              <w:t>企业资信（</w:t>
            </w:r>
            <w:r>
              <w:rPr>
                <w:rFonts w:ascii="仿宋" w:hAnsi="仿宋" w:eastAsia="仿宋" w:cs="宋体"/>
                <w:color w:val="auto"/>
                <w:spacing w:val="-10"/>
                <w:kern w:val="0"/>
                <w:sz w:val="24"/>
              </w:rPr>
              <w:t>2</w:t>
            </w:r>
            <w:r>
              <w:rPr>
                <w:rFonts w:hint="eastAsia" w:ascii="仿宋" w:hAnsi="仿宋" w:eastAsia="仿宋" w:cs="宋体"/>
                <w:color w:val="auto"/>
                <w:spacing w:val="-10"/>
                <w:kern w:val="0"/>
                <w:sz w:val="24"/>
              </w:rPr>
              <w:t>5）</w:t>
            </w: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须具有独立承担民事责任的能力，具有有效的营业执照、税务登记证、组织机构代码证（或三证合一证件）；满足条件得10分。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　</w:t>
            </w:r>
          </w:p>
        </w:tc>
      </w:tr>
      <w:tr>
        <w:tblPrEx>
          <w:tblCellMar>
            <w:top w:w="0" w:type="dxa"/>
            <w:left w:w="108" w:type="dxa"/>
            <w:bottom w:w="0" w:type="dxa"/>
            <w:right w:w="108" w:type="dxa"/>
          </w:tblCellMar>
        </w:tblPrEx>
        <w:trPr>
          <w:trHeight w:val="415" w:hRule="atLeast"/>
          <w:jc w:val="center"/>
        </w:trPr>
        <w:tc>
          <w:tcPr>
            <w:tcW w:w="78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宋体"/>
                <w:color w:val="auto"/>
                <w:kern w:val="0"/>
                <w:sz w:val="24"/>
              </w:rPr>
            </w:pPr>
          </w:p>
        </w:tc>
        <w:tc>
          <w:tcPr>
            <w:tcW w:w="1870"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须在中国招标投标公共服务平台、河南省电子招标投标公共服务平台、 洛阳市政府采购网和洛阳市公共资源交易中心网站登记备案，</w:t>
            </w:r>
            <w:r>
              <w:rPr>
                <w:rFonts w:hint="eastAsia" w:ascii="仿宋" w:hAnsi="仿宋" w:eastAsia="仿宋" w:cs="宋体"/>
                <w:color w:val="auto"/>
                <w:spacing w:val="-16"/>
                <w:kern w:val="0"/>
                <w:sz w:val="24"/>
              </w:rPr>
              <w:t>每提供一个登记备案资料得</w:t>
            </w:r>
            <w:r>
              <w:rPr>
                <w:rFonts w:ascii="仿宋" w:hAnsi="仿宋" w:eastAsia="仿宋" w:cs="宋体"/>
                <w:color w:val="auto"/>
                <w:spacing w:val="-16"/>
                <w:kern w:val="0"/>
                <w:sz w:val="24"/>
              </w:rPr>
              <w:t>2</w:t>
            </w:r>
            <w:r>
              <w:rPr>
                <w:rFonts w:hint="eastAsia" w:ascii="仿宋" w:hAnsi="仿宋" w:eastAsia="仿宋" w:cs="宋体"/>
                <w:color w:val="auto"/>
                <w:spacing w:val="-16"/>
                <w:kern w:val="0"/>
                <w:sz w:val="24"/>
              </w:rPr>
              <w:t>.5分，最多</w:t>
            </w:r>
            <w:r>
              <w:rPr>
                <w:rFonts w:hint="eastAsia" w:ascii="仿宋" w:hAnsi="仿宋" w:eastAsia="仿宋" w:cs="宋体"/>
                <w:color w:val="auto"/>
                <w:spacing w:val="-10"/>
                <w:kern w:val="0"/>
                <w:sz w:val="24"/>
              </w:rPr>
              <w:t>得</w:t>
            </w:r>
            <w:r>
              <w:rPr>
                <w:rFonts w:ascii="仿宋" w:hAnsi="仿宋" w:eastAsia="仿宋" w:cs="宋体"/>
                <w:color w:val="auto"/>
                <w:spacing w:val="-10"/>
                <w:kern w:val="0"/>
                <w:sz w:val="24"/>
              </w:rPr>
              <w:t>10</w:t>
            </w:r>
            <w:r>
              <w:rPr>
                <w:rFonts w:hint="eastAsia" w:ascii="仿宋" w:hAnsi="仿宋" w:eastAsia="仿宋" w:cs="宋体"/>
                <w:color w:val="auto"/>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r>
              <w:rPr>
                <w:rFonts w:hint="eastAsia" w:ascii="仿宋" w:hAnsi="仿宋" w:eastAsia="仿宋" w:cs="宋体"/>
                <w:b/>
                <w:bCs/>
                <w:color w:val="auto"/>
                <w:kern w:val="0"/>
                <w:sz w:val="24"/>
              </w:rPr>
              <w:t>　</w:t>
            </w:r>
          </w:p>
        </w:tc>
      </w:tr>
      <w:tr>
        <w:tblPrEx>
          <w:tblCellMar>
            <w:top w:w="0" w:type="dxa"/>
            <w:left w:w="108" w:type="dxa"/>
            <w:bottom w:w="0" w:type="dxa"/>
            <w:right w:w="108" w:type="dxa"/>
          </w:tblCellMar>
        </w:tblPrEx>
        <w:trPr>
          <w:trHeight w:val="714" w:hRule="atLeast"/>
          <w:jc w:val="center"/>
        </w:trPr>
        <w:tc>
          <w:tcPr>
            <w:tcW w:w="788" w:type="dxa"/>
            <w:vMerge w:val="continue"/>
            <w:tcBorders>
              <w:left w:val="single" w:color="auto" w:sz="4" w:space="0"/>
              <w:bottom w:val="nil"/>
              <w:right w:val="single" w:color="auto" w:sz="4" w:space="0"/>
            </w:tcBorders>
            <w:noWrap/>
            <w:vAlign w:val="center"/>
          </w:tcPr>
          <w:p>
            <w:pPr>
              <w:widowControl/>
              <w:spacing w:line="360" w:lineRule="auto"/>
              <w:jc w:val="left"/>
              <w:rPr>
                <w:rFonts w:ascii="仿宋" w:hAnsi="仿宋" w:eastAsia="仿宋" w:cs="宋体"/>
                <w:color w:val="auto"/>
                <w:kern w:val="0"/>
                <w:sz w:val="24"/>
              </w:rPr>
            </w:pPr>
          </w:p>
        </w:tc>
        <w:tc>
          <w:tcPr>
            <w:tcW w:w="1870" w:type="dxa"/>
            <w:vMerge w:val="continue"/>
            <w:tcBorders>
              <w:left w:val="single" w:color="auto" w:sz="4" w:space="0"/>
              <w:bottom w:val="nil"/>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招标代理单位及法人未被列入经营异常名录、严重违法失信名单、失信被执行人、重大税收违法案件当事人名单、政府采购严重违法失信行为记录名单的网站查询截图，无违纪记录得</w:t>
            </w:r>
            <w:r>
              <w:rPr>
                <w:rFonts w:ascii="仿宋" w:hAnsi="仿宋" w:eastAsia="仿宋" w:cs="宋体"/>
                <w:color w:val="auto"/>
                <w:spacing w:val="-10"/>
                <w:kern w:val="0"/>
                <w:sz w:val="24"/>
              </w:rPr>
              <w:t>5</w:t>
            </w:r>
            <w:r>
              <w:rPr>
                <w:rFonts w:hint="eastAsia" w:ascii="仿宋" w:hAnsi="仿宋" w:eastAsia="仿宋" w:cs="宋体"/>
                <w:color w:val="auto"/>
                <w:spacing w:val="-10"/>
                <w:kern w:val="0"/>
                <w:sz w:val="24"/>
              </w:rPr>
              <w:t>分；未提供或未完全提供或有违纪记录得</w:t>
            </w:r>
            <w:r>
              <w:rPr>
                <w:rFonts w:ascii="仿宋" w:hAnsi="仿宋" w:eastAsia="仿宋" w:cs="宋体"/>
                <w:color w:val="auto"/>
                <w:spacing w:val="-10"/>
                <w:kern w:val="0"/>
                <w:sz w:val="24"/>
              </w:rPr>
              <w:t>0</w:t>
            </w:r>
            <w:r>
              <w:rPr>
                <w:rFonts w:hint="eastAsia" w:ascii="仿宋" w:hAnsi="仿宋" w:eastAsia="仿宋" w:cs="宋体"/>
                <w:color w:val="auto"/>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b/>
                <w:bCs/>
                <w:color w:val="auto"/>
                <w:kern w:val="0"/>
                <w:sz w:val="24"/>
              </w:rPr>
            </w:pPr>
          </w:p>
        </w:tc>
      </w:tr>
      <w:tr>
        <w:tblPrEx>
          <w:tblCellMar>
            <w:top w:w="0" w:type="dxa"/>
            <w:left w:w="108" w:type="dxa"/>
            <w:bottom w:w="0" w:type="dxa"/>
            <w:right w:w="108" w:type="dxa"/>
          </w:tblCellMar>
        </w:tblPrEx>
        <w:trPr>
          <w:trHeight w:val="624" w:hRule="atLeast"/>
          <w:jc w:val="center"/>
        </w:trPr>
        <w:tc>
          <w:tcPr>
            <w:tcW w:w="788"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ascii="仿宋" w:hAnsi="仿宋" w:eastAsia="仿宋" w:cs="宋体"/>
                <w:color w:val="auto"/>
                <w:kern w:val="0"/>
                <w:sz w:val="24"/>
              </w:rPr>
              <w:t>2</w:t>
            </w:r>
          </w:p>
        </w:tc>
        <w:tc>
          <w:tcPr>
            <w:tcW w:w="187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仿宋" w:hAnsi="仿宋" w:eastAsia="仿宋" w:cs="宋体"/>
                <w:color w:val="auto"/>
                <w:spacing w:val="-10"/>
                <w:kern w:val="0"/>
                <w:sz w:val="24"/>
              </w:rPr>
            </w:pPr>
            <w:r>
              <w:rPr>
                <w:rFonts w:hint="eastAsia" w:ascii="仿宋" w:hAnsi="仿宋" w:eastAsia="仿宋" w:cs="宋体"/>
                <w:color w:val="auto"/>
                <w:spacing w:val="-10"/>
                <w:kern w:val="0"/>
                <w:sz w:val="24"/>
              </w:rPr>
              <w:t>代理方案（35分）</w:t>
            </w: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6"/>
                <w:kern w:val="0"/>
                <w:sz w:val="24"/>
              </w:rPr>
            </w:pPr>
            <w:r>
              <w:rPr>
                <w:rFonts w:hint="eastAsia" w:ascii="仿宋" w:hAnsi="仿宋" w:eastAsia="仿宋" w:cs="宋体"/>
                <w:color w:val="auto"/>
                <w:spacing w:val="-16"/>
                <w:kern w:val="0"/>
                <w:sz w:val="24"/>
              </w:rPr>
              <w:t>人员配备（20分）：配备专职人员少于</w:t>
            </w:r>
            <w:r>
              <w:rPr>
                <w:rFonts w:ascii="仿宋" w:hAnsi="仿宋" w:eastAsia="仿宋" w:cs="宋体"/>
                <w:color w:val="auto"/>
                <w:spacing w:val="-16"/>
                <w:kern w:val="0"/>
                <w:sz w:val="24"/>
              </w:rPr>
              <w:t>2</w:t>
            </w:r>
            <w:r>
              <w:rPr>
                <w:rFonts w:hint="eastAsia" w:ascii="仿宋" w:hAnsi="仿宋" w:eastAsia="仿宋" w:cs="宋体"/>
                <w:color w:val="auto"/>
                <w:spacing w:val="-16"/>
                <w:kern w:val="0"/>
                <w:sz w:val="24"/>
              </w:rPr>
              <w:t>人得</w:t>
            </w:r>
            <w:r>
              <w:rPr>
                <w:rFonts w:ascii="仿宋" w:hAnsi="仿宋" w:eastAsia="仿宋" w:cs="宋体"/>
                <w:color w:val="auto"/>
                <w:spacing w:val="-16"/>
                <w:kern w:val="0"/>
                <w:sz w:val="24"/>
              </w:rPr>
              <w:t>0</w:t>
            </w:r>
            <w:r>
              <w:rPr>
                <w:rFonts w:hint="eastAsia" w:ascii="仿宋" w:hAnsi="仿宋" w:eastAsia="仿宋" w:cs="宋体"/>
                <w:color w:val="auto"/>
                <w:spacing w:val="-16"/>
                <w:kern w:val="0"/>
                <w:sz w:val="24"/>
              </w:rPr>
              <w:t>分，大于等于</w:t>
            </w:r>
            <w:r>
              <w:rPr>
                <w:rFonts w:ascii="仿宋" w:hAnsi="仿宋" w:eastAsia="仿宋" w:cs="宋体"/>
                <w:color w:val="auto"/>
                <w:spacing w:val="-16"/>
                <w:kern w:val="0"/>
                <w:sz w:val="24"/>
              </w:rPr>
              <w:t>2</w:t>
            </w:r>
            <w:r>
              <w:rPr>
                <w:rFonts w:hint="eastAsia" w:ascii="仿宋" w:hAnsi="仿宋" w:eastAsia="仿宋" w:cs="宋体"/>
                <w:color w:val="auto"/>
                <w:spacing w:val="-16"/>
                <w:kern w:val="0"/>
                <w:sz w:val="24"/>
              </w:rPr>
              <w:t>人得10分；专职人员相关证书证明资料（</w:t>
            </w:r>
            <w:r>
              <w:rPr>
                <w:rFonts w:hint="eastAsia" w:ascii="仿宋" w:hAnsi="仿宋" w:eastAsia="仿宋" w:cs="宋体"/>
                <w:b/>
                <w:color w:val="auto"/>
                <w:spacing w:val="-16"/>
                <w:kern w:val="0"/>
                <w:sz w:val="24"/>
              </w:rPr>
              <w:t>除身份证外</w:t>
            </w:r>
            <w:r>
              <w:rPr>
                <w:rFonts w:hint="eastAsia" w:ascii="仿宋" w:hAnsi="仿宋" w:eastAsia="仿宋" w:cs="宋体"/>
                <w:color w:val="auto"/>
                <w:spacing w:val="-16"/>
                <w:kern w:val="0"/>
                <w:sz w:val="24"/>
              </w:rPr>
              <w:t>）每提供一个证书得2分，最多不超过10分;合计不超过20分。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62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仿宋" w:hAnsi="仿宋" w:eastAsia="仿宋" w:cs="宋体"/>
                <w:color w:val="auto"/>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招标方案编制合理、科学，招标代理服务工作内容齐全，工作流程清晰；得0-5分。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650"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left"/>
              <w:rPr>
                <w:rFonts w:ascii="仿宋" w:hAnsi="仿宋" w:eastAsia="仿宋" w:cs="宋体"/>
                <w:color w:val="auto"/>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承诺在招标过程中能够遵守招投标相关规定，做到公开、公平、公正、专业的从事本项目招标工作的得</w:t>
            </w:r>
            <w:r>
              <w:rPr>
                <w:rFonts w:ascii="仿宋" w:hAnsi="仿宋" w:eastAsia="仿宋" w:cs="宋体"/>
                <w:color w:val="auto"/>
                <w:spacing w:val="-10"/>
                <w:kern w:val="0"/>
                <w:sz w:val="24"/>
              </w:rPr>
              <w:t>5</w:t>
            </w:r>
            <w:r>
              <w:rPr>
                <w:rFonts w:hint="eastAsia" w:ascii="仿宋" w:hAnsi="仿宋" w:eastAsia="仿宋" w:cs="宋体"/>
                <w:color w:val="auto"/>
                <w:spacing w:val="-10"/>
                <w:kern w:val="0"/>
                <w:sz w:val="24"/>
              </w:rPr>
              <w:t>分，否则得</w:t>
            </w:r>
            <w:r>
              <w:rPr>
                <w:rFonts w:ascii="仿宋" w:hAnsi="仿宋" w:eastAsia="仿宋" w:cs="宋体"/>
                <w:color w:val="auto"/>
                <w:spacing w:val="-10"/>
                <w:kern w:val="0"/>
                <w:sz w:val="24"/>
              </w:rPr>
              <w:t>0</w:t>
            </w:r>
            <w:r>
              <w:rPr>
                <w:rFonts w:hint="eastAsia" w:ascii="仿宋" w:hAnsi="仿宋" w:eastAsia="仿宋" w:cs="宋体"/>
                <w:color w:val="auto"/>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8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left"/>
              <w:rPr>
                <w:rFonts w:ascii="仿宋" w:hAnsi="仿宋" w:eastAsia="仿宋" w:cs="宋体"/>
                <w:color w:val="auto"/>
                <w:kern w:val="0"/>
                <w:sz w:val="24"/>
              </w:rPr>
            </w:pPr>
          </w:p>
        </w:tc>
        <w:tc>
          <w:tcPr>
            <w:tcW w:w="1870"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p>
        </w:tc>
        <w:tc>
          <w:tcPr>
            <w:tcW w:w="6840"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服务响应时间：按照遴选公告内容对服务时限要求做出承诺响应，满足要求得5分，否则得</w:t>
            </w:r>
            <w:r>
              <w:rPr>
                <w:rFonts w:ascii="仿宋" w:hAnsi="仿宋" w:eastAsia="仿宋" w:cs="宋体"/>
                <w:color w:val="auto"/>
                <w:spacing w:val="-10"/>
                <w:kern w:val="0"/>
                <w:sz w:val="24"/>
              </w:rPr>
              <w:t>0</w:t>
            </w:r>
            <w:r>
              <w:rPr>
                <w:rFonts w:hint="eastAsia" w:ascii="仿宋" w:hAnsi="仿宋" w:eastAsia="仿宋" w:cs="宋体"/>
                <w:color w:val="auto"/>
                <w:spacing w:val="-10"/>
                <w:kern w:val="0"/>
                <w:sz w:val="24"/>
              </w:rPr>
              <w:t>分。</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667" w:hRule="atLeast"/>
          <w:jc w:val="center"/>
        </w:trPr>
        <w:tc>
          <w:tcPr>
            <w:tcW w:w="78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ascii="仿宋" w:hAnsi="仿宋" w:eastAsia="仿宋" w:cs="宋体"/>
                <w:color w:val="auto"/>
                <w:kern w:val="0"/>
                <w:sz w:val="24"/>
              </w:rPr>
              <w:t>3</w:t>
            </w:r>
          </w:p>
        </w:tc>
        <w:tc>
          <w:tcPr>
            <w:tcW w:w="1870"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spacing w:val="-10"/>
                <w:kern w:val="0"/>
                <w:sz w:val="24"/>
              </w:rPr>
            </w:pPr>
            <w:r>
              <w:rPr>
                <w:rFonts w:hint="eastAsia" w:ascii="仿宋" w:hAnsi="仿宋" w:eastAsia="仿宋" w:cs="宋体"/>
                <w:color w:val="auto"/>
                <w:spacing w:val="-10"/>
                <w:kern w:val="0"/>
                <w:sz w:val="24"/>
              </w:rPr>
              <w:t>招标代理费报价</w:t>
            </w:r>
          </w:p>
          <w:p>
            <w:pPr>
              <w:widowControl/>
              <w:spacing w:line="360" w:lineRule="auto"/>
              <w:jc w:val="center"/>
              <w:rPr>
                <w:rFonts w:ascii="仿宋" w:hAnsi="仿宋" w:eastAsia="仿宋" w:cs="宋体"/>
                <w:color w:val="auto"/>
                <w:spacing w:val="-10"/>
                <w:kern w:val="0"/>
                <w:sz w:val="24"/>
              </w:rPr>
            </w:pPr>
            <w:r>
              <w:rPr>
                <w:rFonts w:hint="eastAsia" w:ascii="仿宋" w:hAnsi="仿宋" w:eastAsia="仿宋" w:cs="宋体"/>
                <w:color w:val="auto"/>
                <w:spacing w:val="-10"/>
                <w:kern w:val="0"/>
                <w:sz w:val="24"/>
              </w:rPr>
              <w:t>（20分）</w:t>
            </w:r>
          </w:p>
        </w:tc>
        <w:tc>
          <w:tcPr>
            <w:tcW w:w="6840"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按报价由低到高进行排名，第一名得20分，第二名得18分……依次类推，每递减一名，报价得分在前一名得分的基础上扣2分。</w:t>
            </w:r>
          </w:p>
        </w:tc>
        <w:tc>
          <w:tcPr>
            <w:tcW w:w="100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1311" w:hRule="atLeast"/>
          <w:jc w:val="center"/>
        </w:trPr>
        <w:tc>
          <w:tcPr>
            <w:tcW w:w="7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ascii="仿宋" w:hAnsi="仿宋" w:eastAsia="仿宋" w:cs="宋体"/>
                <w:color w:val="auto"/>
                <w:kern w:val="0"/>
                <w:sz w:val="24"/>
              </w:rPr>
              <w:t>4</w:t>
            </w:r>
          </w:p>
        </w:tc>
        <w:tc>
          <w:tcPr>
            <w:tcW w:w="18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spacing w:val="-10"/>
                <w:kern w:val="0"/>
                <w:sz w:val="24"/>
              </w:rPr>
            </w:pPr>
            <w:r>
              <w:rPr>
                <w:rFonts w:hint="eastAsia" w:ascii="仿宋" w:hAnsi="仿宋" w:eastAsia="仿宋" w:cs="宋体"/>
                <w:color w:val="auto"/>
                <w:spacing w:val="-10"/>
                <w:kern w:val="0"/>
                <w:sz w:val="24"/>
              </w:rPr>
              <w:t>其他</w:t>
            </w:r>
          </w:p>
          <w:p>
            <w:pPr>
              <w:widowControl/>
              <w:spacing w:line="360" w:lineRule="auto"/>
              <w:jc w:val="center"/>
              <w:rPr>
                <w:rFonts w:ascii="仿宋" w:hAnsi="仿宋" w:eastAsia="仿宋" w:cs="宋体"/>
                <w:color w:val="auto"/>
                <w:spacing w:val="-10"/>
                <w:kern w:val="0"/>
                <w:sz w:val="24"/>
              </w:rPr>
            </w:pPr>
            <w:r>
              <w:rPr>
                <w:rFonts w:ascii="仿宋" w:hAnsi="仿宋" w:eastAsia="仿宋" w:cs="宋体"/>
                <w:color w:val="auto"/>
                <w:spacing w:val="-10"/>
                <w:kern w:val="0"/>
                <w:sz w:val="24"/>
              </w:rPr>
              <w:t xml:space="preserve"> (2</w:t>
            </w:r>
            <w:r>
              <w:rPr>
                <w:rFonts w:hint="eastAsia" w:ascii="仿宋" w:hAnsi="仿宋" w:eastAsia="仿宋" w:cs="宋体"/>
                <w:color w:val="auto"/>
                <w:spacing w:val="-10"/>
                <w:kern w:val="0"/>
                <w:sz w:val="24"/>
              </w:rPr>
              <w:t>0分</w:t>
            </w:r>
            <w:r>
              <w:rPr>
                <w:rFonts w:ascii="仿宋" w:hAnsi="仿宋" w:eastAsia="仿宋" w:cs="宋体"/>
                <w:color w:val="auto"/>
                <w:spacing w:val="-10"/>
                <w:kern w:val="0"/>
                <w:sz w:val="24"/>
              </w:rPr>
              <w:t>)</w:t>
            </w:r>
          </w:p>
        </w:tc>
        <w:tc>
          <w:tcPr>
            <w:tcW w:w="68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lang w:val="en-US" w:eastAsia="zh-CN"/>
              </w:rPr>
              <w:t>2020年以来</w:t>
            </w:r>
            <w:r>
              <w:rPr>
                <w:rFonts w:hint="eastAsia" w:ascii="仿宋" w:hAnsi="仿宋" w:eastAsia="仿宋" w:cs="宋体"/>
                <w:color w:val="auto"/>
                <w:spacing w:val="-10"/>
                <w:kern w:val="0"/>
                <w:sz w:val="24"/>
              </w:rPr>
              <w:t>完成的</w:t>
            </w:r>
            <w:r>
              <w:rPr>
                <w:rFonts w:hint="eastAsia" w:ascii="仿宋" w:hAnsi="仿宋" w:eastAsia="仿宋" w:cs="宋体"/>
                <w:color w:val="auto"/>
                <w:spacing w:val="-10"/>
                <w:kern w:val="0"/>
                <w:sz w:val="24"/>
                <w:lang w:eastAsia="zh-CN"/>
              </w:rPr>
              <w:t>工程基建类</w:t>
            </w:r>
            <w:r>
              <w:rPr>
                <w:rFonts w:hint="eastAsia" w:ascii="仿宋" w:hAnsi="仿宋" w:eastAsia="仿宋" w:cs="宋体"/>
                <w:color w:val="auto"/>
                <w:spacing w:val="-10"/>
                <w:kern w:val="0"/>
                <w:sz w:val="24"/>
              </w:rPr>
              <w:t>招标代理业绩，每提供一个业绩得5分，最多不超过20分（需提供加盖公章的合同复印件）。</w:t>
            </w:r>
          </w:p>
        </w:tc>
        <w:tc>
          <w:tcPr>
            <w:tcW w:w="1001" w:type="dxa"/>
            <w:tcBorders>
              <w:top w:val="nil"/>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612" w:hRule="atLeast"/>
          <w:jc w:val="center"/>
        </w:trPr>
        <w:tc>
          <w:tcPr>
            <w:tcW w:w="949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 w:hAnsi="仿宋" w:eastAsia="仿宋" w:cs="宋体"/>
                <w:color w:val="auto"/>
                <w:kern w:val="0"/>
                <w:sz w:val="24"/>
              </w:rPr>
            </w:pPr>
            <w:r>
              <w:rPr>
                <w:rFonts w:hint="eastAsia" w:ascii="仿宋" w:hAnsi="仿宋" w:eastAsia="仿宋" w:cs="宋体"/>
                <w:color w:val="auto"/>
                <w:kern w:val="0"/>
                <w:sz w:val="24"/>
              </w:rPr>
              <w:t>综合评分</w:t>
            </w:r>
          </w:p>
        </w:tc>
        <w:tc>
          <w:tcPr>
            <w:tcW w:w="1001"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仿宋" w:hAnsi="仿宋" w:eastAsia="仿宋" w:cs="宋体"/>
                <w:color w:val="auto"/>
                <w:kern w:val="0"/>
                <w:sz w:val="24"/>
              </w:rPr>
            </w:pPr>
          </w:p>
        </w:tc>
      </w:tr>
    </w:tbl>
    <w:p>
      <w:pPr>
        <w:tabs>
          <w:tab w:val="left" w:pos="2127"/>
        </w:tabs>
        <w:spacing w:line="360" w:lineRule="exact"/>
        <w:ind w:firstLine="562" w:firstLineChars="200"/>
        <w:rPr>
          <w:rFonts w:ascii="仿宋" w:hAnsi="仿宋" w:eastAsia="仿宋" w:cs="仿宋"/>
          <w:b/>
          <w:color w:val="auto"/>
          <w:sz w:val="28"/>
          <w:szCs w:val="28"/>
        </w:rPr>
      </w:pPr>
    </w:p>
    <w:p>
      <w:pPr>
        <w:pStyle w:val="2"/>
      </w:pPr>
    </w:p>
    <w:p>
      <w:pPr>
        <w:pStyle w:val="2"/>
        <w:spacing w:line="5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七、遴选结果评议</w:t>
      </w:r>
    </w:p>
    <w:p>
      <w:pPr>
        <w:pStyle w:val="2"/>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5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八、招标代理合同</w:t>
      </w:r>
    </w:p>
    <w:p>
      <w:pPr>
        <w:pStyle w:val="2"/>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（参照“洛阳市市级政府采购项目委托代理协议书”）</w:t>
      </w:r>
    </w:p>
    <w:p>
      <w:pPr>
        <w:tabs>
          <w:tab w:val="left" w:pos="2127"/>
        </w:tabs>
        <w:spacing w:line="5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九、公示</w:t>
      </w:r>
    </w:p>
    <w:p>
      <w:pPr>
        <w:pStyle w:val="2"/>
        <w:spacing w:line="500" w:lineRule="exact"/>
        <w:ind w:firstLine="520" w:firstLineChars="200"/>
        <w:rPr>
          <w:rFonts w:ascii="仿宋" w:hAnsi="仿宋" w:eastAsia="仿宋" w:cs="仿宋"/>
          <w:color w:val="auto"/>
          <w:spacing w:val="-10"/>
          <w:sz w:val="28"/>
          <w:szCs w:val="28"/>
        </w:rPr>
      </w:pPr>
      <w:r>
        <w:rPr>
          <w:rFonts w:hint="eastAsia" w:ascii="仿宋" w:hAnsi="仿宋" w:eastAsia="仿宋" w:cs="仿宋"/>
          <w:color w:val="auto"/>
          <w:spacing w:val="-10"/>
          <w:sz w:val="28"/>
          <w:szCs w:val="28"/>
        </w:rPr>
        <w:t>本次遴选公告、遴选结果公告将在洛阳市</w:t>
      </w:r>
      <w:r>
        <w:rPr>
          <w:rFonts w:hint="eastAsia" w:ascii="仿宋" w:hAnsi="仿宋" w:eastAsia="仿宋" w:cs="仿宋"/>
          <w:color w:val="auto"/>
          <w:spacing w:val="-10"/>
          <w:sz w:val="28"/>
          <w:szCs w:val="28"/>
          <w:lang w:eastAsia="zh-CN"/>
        </w:rPr>
        <w:t>交通</w:t>
      </w:r>
      <w:r>
        <w:rPr>
          <w:rFonts w:hint="eastAsia" w:ascii="仿宋" w:hAnsi="仿宋" w:eastAsia="仿宋" w:cs="仿宋"/>
          <w:color w:val="auto"/>
          <w:spacing w:val="-10"/>
          <w:sz w:val="28"/>
          <w:szCs w:val="28"/>
        </w:rPr>
        <w:t>事业发展中心网站（</w:t>
      </w:r>
      <w:r>
        <w:rPr>
          <w:color w:val="auto"/>
        </w:rPr>
        <w:fldChar w:fldCharType="begin"/>
      </w:r>
      <w:r>
        <w:rPr>
          <w:color w:val="auto"/>
        </w:rPr>
        <w:instrText xml:space="preserve"> HYPERLINK "http://www.luoyanggl.cn" </w:instrText>
      </w:r>
      <w:r>
        <w:rPr>
          <w:color w:val="auto"/>
        </w:rPr>
        <w:fldChar w:fldCharType="separate"/>
      </w:r>
      <w:r>
        <w:rPr>
          <w:rFonts w:ascii="仿宋" w:hAnsi="仿宋" w:eastAsia="仿宋" w:cs="仿宋"/>
          <w:color w:val="auto"/>
          <w:spacing w:val="-10"/>
          <w:sz w:val="28"/>
          <w:szCs w:val="28"/>
        </w:rPr>
        <w:t>www.luoyanggl.cn</w:t>
      </w:r>
      <w:r>
        <w:rPr>
          <w:rFonts w:ascii="仿宋" w:hAnsi="仿宋" w:eastAsia="仿宋" w:cs="仿宋"/>
          <w:color w:val="auto"/>
          <w:spacing w:val="-10"/>
          <w:sz w:val="28"/>
          <w:szCs w:val="28"/>
        </w:rPr>
        <w:fldChar w:fldCharType="end"/>
      </w:r>
      <w:r>
        <w:rPr>
          <w:rFonts w:hint="eastAsia" w:ascii="仿宋" w:hAnsi="仿宋" w:eastAsia="仿宋" w:cs="仿宋"/>
          <w:color w:val="auto"/>
          <w:spacing w:val="-10"/>
          <w:sz w:val="28"/>
          <w:szCs w:val="28"/>
        </w:rPr>
        <w:t>）政务公开栏上公示。</w:t>
      </w:r>
    </w:p>
    <w:p>
      <w:pPr>
        <w:tabs>
          <w:tab w:val="left" w:pos="2127"/>
        </w:tabs>
        <w:spacing w:line="5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十、采购人及联系方式</w:t>
      </w:r>
    </w:p>
    <w:p>
      <w:pPr>
        <w:pStyle w:val="2"/>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采购人：洛阳市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w:t>
      </w:r>
    </w:p>
    <w:p>
      <w:pPr>
        <w:tabs>
          <w:tab w:val="left" w:pos="2127"/>
        </w:tabs>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 系 人：段先生</w:t>
      </w:r>
    </w:p>
    <w:p>
      <w:pPr>
        <w:tabs>
          <w:tab w:val="left" w:pos="2127"/>
        </w:tabs>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联系电话：0379-63217736</w:t>
      </w:r>
    </w:p>
    <w:p>
      <w:pPr>
        <w:tabs>
          <w:tab w:val="left" w:pos="2127"/>
        </w:tabs>
        <w:spacing w:line="500" w:lineRule="exact"/>
        <w:ind w:firstLine="560" w:firstLineChars="200"/>
        <w:rPr>
          <w:rFonts w:hint="eastAsia" w:ascii="仿宋" w:hAnsi="仿宋" w:eastAsia="仿宋" w:cs="仿宋"/>
          <w:color w:val="auto"/>
          <w:sz w:val="28"/>
          <w:szCs w:val="28"/>
        </w:rPr>
      </w:pPr>
    </w:p>
    <w:p>
      <w:pPr>
        <w:pStyle w:val="2"/>
        <w:rPr>
          <w:color w:val="auto"/>
        </w:rPr>
      </w:pPr>
    </w:p>
    <w:p>
      <w:pPr>
        <w:tabs>
          <w:tab w:val="left" w:pos="2127"/>
        </w:tabs>
        <w:spacing w:line="500" w:lineRule="exact"/>
        <w:jc w:val="right"/>
        <w:rPr>
          <w:rFonts w:ascii="仿宋" w:hAnsi="仿宋" w:eastAsia="仿宋" w:cs="仿宋"/>
          <w:color w:val="auto"/>
          <w:sz w:val="28"/>
          <w:szCs w:val="28"/>
        </w:rPr>
      </w:pPr>
      <w:r>
        <w:rPr>
          <w:rFonts w:hint="eastAsia" w:ascii="仿宋" w:hAnsi="仿宋" w:eastAsia="仿宋" w:cs="仿宋"/>
          <w:color w:val="auto"/>
          <w:sz w:val="28"/>
          <w:szCs w:val="28"/>
        </w:rPr>
        <w:t>洛阳市</w:t>
      </w:r>
      <w:r>
        <w:rPr>
          <w:rFonts w:hint="eastAsia" w:ascii="仿宋" w:hAnsi="仿宋" w:eastAsia="仿宋" w:cs="仿宋"/>
          <w:color w:val="auto"/>
          <w:sz w:val="28"/>
          <w:szCs w:val="28"/>
          <w:lang w:eastAsia="zh-CN"/>
        </w:rPr>
        <w:t>交通</w:t>
      </w:r>
      <w:r>
        <w:rPr>
          <w:rFonts w:hint="eastAsia" w:ascii="仿宋" w:hAnsi="仿宋" w:eastAsia="仿宋" w:cs="仿宋"/>
          <w:color w:val="auto"/>
          <w:sz w:val="28"/>
          <w:szCs w:val="28"/>
        </w:rPr>
        <w:t>事业发展中心</w:t>
      </w:r>
    </w:p>
    <w:p>
      <w:pPr>
        <w:tabs>
          <w:tab w:val="left" w:pos="2127"/>
        </w:tabs>
        <w:spacing w:line="500" w:lineRule="exact"/>
        <w:ind w:right="420"/>
        <w:jc w:val="right"/>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bookmarkStart w:id="1" w:name="_GoBack"/>
      <w:bookmarkEnd w:id="1"/>
      <w:r>
        <w:rPr>
          <w:rFonts w:hint="eastAsia" w:ascii="仿宋" w:hAnsi="仿宋" w:eastAsia="仿宋" w:cs="仿宋"/>
          <w:color w:val="auto"/>
          <w:sz w:val="28"/>
          <w:szCs w:val="28"/>
        </w:rPr>
        <w:t>日</w:t>
      </w: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p>
      <w:pPr>
        <w:tabs>
          <w:tab w:val="left" w:pos="2127"/>
        </w:tabs>
        <w:spacing w:line="500" w:lineRule="exact"/>
        <w:ind w:firstLine="560" w:firstLineChars="200"/>
        <w:rPr>
          <w:rFonts w:ascii="仿宋" w:hAnsi="仿宋" w:eastAsia="仿宋" w:cs="仿宋"/>
          <w:color w:val="auto"/>
          <w:sz w:val="28"/>
          <w:szCs w:val="28"/>
        </w:rPr>
      </w:pPr>
    </w:p>
    <w:bookmarkEnd w:id="0"/>
    <w:p>
      <w:pPr>
        <w:tabs>
          <w:tab w:val="left" w:pos="2127"/>
        </w:tabs>
        <w:spacing w:line="360" w:lineRule="auto"/>
        <w:rPr>
          <w:rFonts w:ascii="仿宋" w:hAnsi="仿宋" w:eastAsia="仿宋" w:cs="仿宋"/>
          <w:b/>
          <w:bCs/>
          <w:color w:val="auto"/>
          <w:sz w:val="32"/>
          <w:szCs w:val="32"/>
        </w:rPr>
      </w:pPr>
    </w:p>
    <w:sectPr>
      <w:headerReference r:id="rId3" w:type="default"/>
      <w:footerReference r:id="rId4" w:type="default"/>
      <w:pgSz w:w="11906" w:h="16838"/>
      <w:pgMar w:top="1701" w:right="141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11461"/>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1663F"/>
    <w:multiLevelType w:val="singleLevel"/>
    <w:tmpl w:val="4A41663F"/>
    <w:lvl w:ilvl="0" w:tentative="0">
      <w:start w:val="8"/>
      <w:numFmt w:val="decimal"/>
      <w:suff w:val="nothing"/>
      <w:lvlText w:val="%1、"/>
      <w:lvlJc w:val="left"/>
    </w:lvl>
  </w:abstractNum>
  <w:abstractNum w:abstractNumId="1">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DZlOGVkMjgwMjE2OTQ0MGVmMTZhMTA2ZjMzYjcifQ=="/>
  </w:docVars>
  <w:rsids>
    <w:rsidRoot w:val="12103DC7"/>
    <w:rsid w:val="000670EE"/>
    <w:rsid w:val="000B0021"/>
    <w:rsid w:val="0012047F"/>
    <w:rsid w:val="001D4109"/>
    <w:rsid w:val="0024691B"/>
    <w:rsid w:val="002E4D24"/>
    <w:rsid w:val="00320DC3"/>
    <w:rsid w:val="003775D3"/>
    <w:rsid w:val="004E15DA"/>
    <w:rsid w:val="004E2169"/>
    <w:rsid w:val="004E49D4"/>
    <w:rsid w:val="0056164E"/>
    <w:rsid w:val="00582106"/>
    <w:rsid w:val="006302DE"/>
    <w:rsid w:val="0072194D"/>
    <w:rsid w:val="007620D0"/>
    <w:rsid w:val="00916A1D"/>
    <w:rsid w:val="00963B85"/>
    <w:rsid w:val="00965B70"/>
    <w:rsid w:val="009A6510"/>
    <w:rsid w:val="009C6AAC"/>
    <w:rsid w:val="00A51E1D"/>
    <w:rsid w:val="00B30D23"/>
    <w:rsid w:val="00B54E09"/>
    <w:rsid w:val="00B9780D"/>
    <w:rsid w:val="00BC4AA9"/>
    <w:rsid w:val="00CF0441"/>
    <w:rsid w:val="00CF0C3D"/>
    <w:rsid w:val="00D25B88"/>
    <w:rsid w:val="00D31363"/>
    <w:rsid w:val="00D66DDD"/>
    <w:rsid w:val="00DA58AD"/>
    <w:rsid w:val="00E05082"/>
    <w:rsid w:val="00E4235E"/>
    <w:rsid w:val="00E42DC4"/>
    <w:rsid w:val="00ED3A04"/>
    <w:rsid w:val="00F829D1"/>
    <w:rsid w:val="00F87C63"/>
    <w:rsid w:val="00FA0173"/>
    <w:rsid w:val="011F210A"/>
    <w:rsid w:val="044B1342"/>
    <w:rsid w:val="0584493E"/>
    <w:rsid w:val="07AA09A8"/>
    <w:rsid w:val="07E05757"/>
    <w:rsid w:val="097C1F9D"/>
    <w:rsid w:val="0B237639"/>
    <w:rsid w:val="104C1533"/>
    <w:rsid w:val="10C24C05"/>
    <w:rsid w:val="11AE237B"/>
    <w:rsid w:val="12103DC7"/>
    <w:rsid w:val="13AA5006"/>
    <w:rsid w:val="18197A50"/>
    <w:rsid w:val="1B4D4DB6"/>
    <w:rsid w:val="1D6314A8"/>
    <w:rsid w:val="201A32D9"/>
    <w:rsid w:val="237D33B0"/>
    <w:rsid w:val="2441712C"/>
    <w:rsid w:val="28A05033"/>
    <w:rsid w:val="30617F84"/>
    <w:rsid w:val="34B77194"/>
    <w:rsid w:val="36080591"/>
    <w:rsid w:val="36371A07"/>
    <w:rsid w:val="36632192"/>
    <w:rsid w:val="40A362C1"/>
    <w:rsid w:val="41EA0655"/>
    <w:rsid w:val="45E343E6"/>
    <w:rsid w:val="48A028AB"/>
    <w:rsid w:val="49B760FE"/>
    <w:rsid w:val="4B30441A"/>
    <w:rsid w:val="4B5A492B"/>
    <w:rsid w:val="4C081FDB"/>
    <w:rsid w:val="4F1B0EDE"/>
    <w:rsid w:val="52611F6F"/>
    <w:rsid w:val="579E65F7"/>
    <w:rsid w:val="584537DE"/>
    <w:rsid w:val="590816FA"/>
    <w:rsid w:val="5A3A490E"/>
    <w:rsid w:val="5A864503"/>
    <w:rsid w:val="5EDC3864"/>
    <w:rsid w:val="61957FA8"/>
    <w:rsid w:val="659D6236"/>
    <w:rsid w:val="6A184540"/>
    <w:rsid w:val="6F351D01"/>
    <w:rsid w:val="71AB5B54"/>
    <w:rsid w:val="7D6E625D"/>
    <w:rsid w:val="7DC04F85"/>
    <w:rsid w:val="7E5D7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kern w:val="0"/>
      <w:sz w:val="30"/>
      <w:szCs w:val="20"/>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2794</Words>
  <Characters>2923</Characters>
  <Lines>2</Lines>
  <Paragraphs>6</Paragraphs>
  <TotalTime>86</TotalTime>
  <ScaleCrop>false</ScaleCrop>
  <LinksUpToDate>false</LinksUpToDate>
  <CharactersWithSpaces>2938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断桥</cp:lastModifiedBy>
  <dcterms:modified xsi:type="dcterms:W3CDTF">2023-03-20T09:32:37Z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32CC35BE356F424C93F0D5559A495EED</vt:lpwstr>
  </property>
</Properties>
</file>