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9F9F9"/>
        <w:spacing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444444"/>
          <w:kern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洛阳市普通干线公路安全设施精细化提升工程设计服务项目  成交公告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1、采购编号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: 1ZL22-1009093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2、采购项目名称：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 xml:space="preserve">洛阳市普通干线公路安全设施精细化提升工程设计服务项目  </w:t>
      </w:r>
      <w:r>
        <w:rPr>
          <w:rFonts w:ascii="仿宋" w:hAnsi="仿宋" w:eastAsia="仿宋" w:cs="宋体"/>
          <w:color w:val="444444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3、采购方式：竞争性磋商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4、招标公告发布日期：2022年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日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5、评审日期：2022年1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日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二、采购项目用途、数量、简要技术要求、合同履行日期：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1、项目概况：洛阳市普通干线公路安全设施精细化提升工程设计服务项目，主要包括：一标段：G310洛阳境K708+154至 K734十061段公路安全设施精细化提升工程、S237洛阳境K82+203至K91+788段公路安全设施精细化提升工程、S312洛阳境K243+408至Κ265+880段公路安全设施精细化提升工程、S314洛阳境K362+611至K391+026段公路安全设施精细化提升工程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二标段：G208洛阳境K1178+971至K1198+483段公路安全设施精细化提升工程、G310洛阳境K734+061至K769+001段公路安全设施精细化提升工程、S240洛阳境K55+635至K81+772段公路安全设施精细化提升工程、S310洛阳境K247+702至Κ261+859段公路安全设施精细化提升工程、S312洛阳境K265+880至K317+333段公路安全设施精细化提升工程、S317洛阳境Κ494+303至K509+872段公路安全设施精细化提升工程的设计等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2、资金来源：财政资金；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范围：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磋商文件及答疑（若有）范围内的全部内容。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设计周期：合同签订之日起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日历天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、质量要求：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符合国家、行业、地方政府现行有关法律法规及技术规范要求，满足采购人需求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；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6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、标段划分：本次招标共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个标段。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三、中标情况</w:t>
      </w:r>
    </w:p>
    <w:tbl>
      <w:tblPr>
        <w:tblStyle w:val="5"/>
        <w:tblW w:w="0" w:type="auto"/>
        <w:tblCellSpacing w:w="15" w:type="dxa"/>
        <w:tblInd w:w="0" w:type="dxa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773"/>
        <w:gridCol w:w="2328"/>
        <w:gridCol w:w="2268"/>
        <w:gridCol w:w="1884"/>
        <w:gridCol w:w="504"/>
        <w:gridCol w:w="1176"/>
        <w:gridCol w:w="216"/>
        <w:gridCol w:w="984"/>
        <w:gridCol w:w="140"/>
      </w:tblGrid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90" w:hRule="atLeast"/>
          <w:tblCellSpacing w:w="15" w:type="dxa"/>
        </w:trPr>
        <w:tc>
          <w:tcPr>
            <w:tcW w:w="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成交金额</w:t>
            </w:r>
          </w:p>
        </w:tc>
        <w:tc>
          <w:tcPr>
            <w:tcW w:w="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1170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G310洛阳境K708+154至 K734十061段公路安全设施精细化提升工程、S237洛阳境K82+203至K91+788段公路安全设施精细化提升工程、S312洛阳境K243+408至Κ265+880段公路安全设施精细化提升工程、S314洛阳境K362+611至K391+026段公路安全设施精细化提升工程。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河南省交通勘察设计有限公司 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郑州市陇海中路70号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149828.46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元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both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服务标准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1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洛阳市普通干线公路安全设施精细化提升工程设计服务项目一标段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磋商文件及答疑（若有）范围内的全部内容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符合国家、行业、地方政府现行有关法律法规及技术规范要求，满足采购人需求；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合同签订之日起10日历天。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具体要求详见磋商文件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930" w:hRule="atLeast"/>
          <w:tblCellSpacing w:w="15" w:type="dxa"/>
        </w:trPr>
        <w:tc>
          <w:tcPr>
            <w:tcW w:w="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成交金额</w:t>
            </w:r>
          </w:p>
        </w:tc>
        <w:tc>
          <w:tcPr>
            <w:tcW w:w="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1170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 w:bidi="ar-SA"/>
              </w:rPr>
              <w:t>G208洛阳境K1178+971至K1198+483段公路安全设施精细化提升工程、G310洛阳境K734+061至K769+001段公路安全设施精细化提升工程、S240洛阳境K55+635至K81+772段公路安全设施精细化提升工程、S310洛阳境K247+702至Κ261+859段公路安全设施精细化提升工程、S312洛阳境K265+880至K317+333段公路安全设施精细化提升工程、S317洛阳境Κ494+303至K509+872段公路安全设施精细化提升工程的设计等。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洛阳市公路规划勘察设计院有限公司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微软雅黑" w:hAnsi="微软雅黑" w:eastAsia="微软雅黑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洛阳市涧西区乐山路8号632小区11幢2楼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221758.00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元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服务标准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8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洛阳市普通干线公路安全设施精细化提升工程设计服务项目二标段  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磋商文件及答疑（若有）范围内的全部内容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符合国家、行业、地方政府现行有关法律法规及技术规范要求，满足采购人需求；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合同签订之日起10日历天。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具体要求详见磋商文件</w:t>
            </w:r>
          </w:p>
        </w:tc>
      </w:tr>
    </w:tbl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</w:pP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四、评审专家名单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 xml:space="preserve"> 周安安 、姚强、 邓旭先  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五、代理服务收费标准及金额：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收费标准：代理费用收取标准参照财政局洛财购〔2019〕3号文标准优惠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%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以现金或转账的方式向采购代理机构一次性支付。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收费金额：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5400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.00元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六、成交公告发布的媒介及成交公告期限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本次成交公告同时在《河南省电子招标投标公共服务平台》、《洛阳市政府采购网》、《洛阳市交通事业发展中心》上发布。成交公告期限为1个工作日。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供应商对成交结果有异议的，应在本成交公告发布之日后7个工作日内，由法定代表人或其授权代表携带本人身份证件（原件和复印件）以书面形式向采购代理机构一次性提交质疑函原件及相关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证明材料(法人签字盖章并加盖单位公章)。逾期未提交或未按照要求提交的质疑函将不予受理。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default" w:ascii="仿宋" w:hAnsi="仿宋" w:eastAsia="仿宋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2.因洛阳市政府采购网后台升级，故此网站暂未能发布，成交公告以《河南省电子招标投标公共服务平台》、《洛阳市交通事业发展中心》为准。</w:t>
      </w:r>
      <w:bookmarkStart w:id="0" w:name="_GoBack"/>
      <w:bookmarkEnd w:id="0"/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八、凡对本次公告内容提出询问，请按以下方式联系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1．</w:t>
      </w:r>
      <w:r>
        <w:rPr>
          <w:rFonts w:hint="eastAsia" w:ascii="仿宋" w:hAnsi="仿宋" w:eastAsia="仿宋" w:cs="宋体"/>
          <w:color w:val="444444"/>
          <w:spacing w:val="15"/>
          <w:kern w:val="0"/>
          <w:sz w:val="24"/>
          <w:szCs w:val="24"/>
        </w:rPr>
        <w:t>采购人信息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名称：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洛阳市交通事业发展中心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地址：洛阳市涧西区南昌路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172 号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联系人：孙先生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联系方式：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0379-60665976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2．采购代理机构信息（如有）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名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称：中陆项目管理有限公司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地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址：洛阳市洛龙区盛唐至尊20号楼1单元1403室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联系人：杨女士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电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话：0379-60662005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邮箱：zhongluguanli@qq.com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3.监督部门：洛阳市交通运输局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监管部门联系人：姬先生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监管部门联系方式：0379-63218170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ZDQ4ZDQ4NDc0NzM2OTE5NTExY2YzMjNkMTI3OGEifQ=="/>
  </w:docVars>
  <w:rsids>
    <w:rsidRoot w:val="00A603A9"/>
    <w:rsid w:val="00680EEC"/>
    <w:rsid w:val="00A603A9"/>
    <w:rsid w:val="00AC4CF3"/>
    <w:rsid w:val="00B0148B"/>
    <w:rsid w:val="00C64729"/>
    <w:rsid w:val="172F064F"/>
    <w:rsid w:val="20C474E5"/>
    <w:rsid w:val="25965D3D"/>
    <w:rsid w:val="262C1943"/>
    <w:rsid w:val="26591245"/>
    <w:rsid w:val="27193F3D"/>
    <w:rsid w:val="39901953"/>
    <w:rsid w:val="440F6F8F"/>
    <w:rsid w:val="48CA7928"/>
    <w:rsid w:val="4AF97731"/>
    <w:rsid w:val="5285403C"/>
    <w:rsid w:val="56A9795F"/>
    <w:rsid w:val="58B73A25"/>
    <w:rsid w:val="5EE017FC"/>
    <w:rsid w:val="640E2967"/>
    <w:rsid w:val="673821D5"/>
    <w:rsid w:val="71CA4371"/>
    <w:rsid w:val="7D046B87"/>
    <w:rsid w:val="7ED0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1672</Words>
  <Characters>2124</Characters>
  <Lines>10</Lines>
  <Paragraphs>2</Paragraphs>
  <TotalTime>3</TotalTime>
  <ScaleCrop>false</ScaleCrop>
  <LinksUpToDate>false</LinksUpToDate>
  <CharactersWithSpaces>2155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2022-10-14T00:20:00Z</dcterms:created>
  <dc:creator>祁 先亚</dc:creator>
  <cp:lastModifiedBy>autism</cp:lastModifiedBy>
  <dcterms:modified xsi:type="dcterms:W3CDTF">2022-11-10T07:27:03Z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638EB3B9BBC94963ADB4C92918BAA9F6</vt:lpwstr>
  </property>
</Properties>
</file>