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ind w:left="902"/>
        <w:jc w:val="center"/>
        <w:rPr>
          <w:rFonts w:ascii="方正小标宋简体" w:hAnsi="方正小标宋简体" w:eastAsia="方正小标宋简体" w:cs="方正小标宋简体"/>
          <w:b/>
          <w:bCs/>
          <w:color w:val="333333"/>
          <w:sz w:val="44"/>
          <w:szCs w:val="44"/>
          <w:shd w:val="clear" w:color="auto" w:fill="FFFFFF"/>
          <w:lang w:eastAsia="zh-CN"/>
        </w:rPr>
      </w:pPr>
      <w:r>
        <w:rPr>
          <w:rFonts w:hint="eastAsia" w:ascii="方正小标宋简体" w:hAnsi="方正小标宋简体" w:eastAsia="方正小标宋简体" w:cs="方正小标宋简体"/>
          <w:b/>
          <w:bCs/>
          <w:color w:val="333333"/>
          <w:sz w:val="44"/>
          <w:szCs w:val="44"/>
          <w:shd w:val="clear" w:color="auto" w:fill="FFFFFF"/>
          <w:lang w:eastAsia="zh-CN"/>
        </w:rPr>
        <w:t>2022年洛阳市普通干线公路第二批养护工程监理服务项目-</w:t>
      </w:r>
      <w:r>
        <w:rPr>
          <w:rFonts w:ascii="方正小标宋简体" w:hAnsi="方正小标宋简体" w:eastAsia="方正小标宋简体" w:cs="方正小标宋简体"/>
          <w:b/>
          <w:bCs/>
          <w:color w:val="333333"/>
          <w:sz w:val="44"/>
          <w:szCs w:val="44"/>
          <w:shd w:val="clear" w:color="auto" w:fill="FFFFFF"/>
          <w:lang w:eastAsia="zh-CN"/>
        </w:rPr>
        <w:t>-</w:t>
      </w:r>
      <w:r>
        <w:rPr>
          <w:rFonts w:hint="eastAsia" w:ascii="方正小标宋简体" w:hAnsi="方正小标宋简体" w:eastAsia="方正小标宋简体" w:cs="方正小标宋简体"/>
          <w:b/>
          <w:bCs/>
          <w:color w:val="333333"/>
          <w:sz w:val="44"/>
          <w:szCs w:val="44"/>
          <w:shd w:val="clear" w:color="auto" w:fill="FFFFFF"/>
          <w:lang w:eastAsia="zh-CN"/>
        </w:rPr>
        <w:t>采购公告</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bookmarkStart w:id="0" w:name="_Toc508181381"/>
      <w:r>
        <w:rPr>
          <w:rFonts w:hint="eastAsia" w:ascii="黑体" w:hAnsi="黑体" w:eastAsia="黑体" w:cs="黑体"/>
          <w:color w:val="333333"/>
          <w:sz w:val="30"/>
          <w:szCs w:val="30"/>
          <w:shd w:val="clear" w:color="auto" w:fill="FFFFFF"/>
        </w:rPr>
        <w:t>项目概况</w:t>
      </w:r>
    </w:p>
    <w:p>
      <w:pPr>
        <w:pStyle w:val="5"/>
        <w:widowControl/>
        <w:spacing w:before="0" w:beforeAutospacing="0" w:after="0" w:afterAutospacing="0" w:line="480" w:lineRule="auto"/>
        <w:ind w:left="902" w:firstLine="59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2022年洛阳市普通干线公路第二批养护工程监理服务项目的潜在供应商应在洛阳市洛龙区经五路与洛宜路交叉口东宇大厦28楼2819获取竞争性磋商文件，并于2022年7月29日15时00分（北京时间）前递交响应文件。</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一、项目基本情况</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1、项目编号：HNWA【2022】008号</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2、项目名称：2022年洛阳市普通干线公路第二批养护工程监理服务项目</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3、采购方式：竞争性磋商</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4、预算金额：320705.61元，费率：1.301%；</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最高限价：320705.61元，费率：1.301%</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5、采购需求</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5.1、项目概况：2022年洛阳市普通干线公路第二批养护工程</w:t>
      </w:r>
      <w:bookmarkStart w:id="2" w:name="_GoBack"/>
      <w:bookmarkEnd w:id="2"/>
      <w:r>
        <w:rPr>
          <w:rFonts w:hint="eastAsia" w:ascii="仿宋" w:hAnsi="仿宋" w:eastAsia="仿宋" w:cs="仿宋"/>
          <w:color w:val="333333"/>
          <w:sz w:val="32"/>
          <w:szCs w:val="32"/>
          <w:shd w:val="clear" w:color="auto" w:fill="FFFFFF"/>
        </w:rPr>
        <w:t>监理服务项目，主要内容为完成本项目各工程的监理服务及后续服务工作等工作内容，包括6个委托养护工程的监理服务，内容详见下表：</w:t>
      </w:r>
    </w:p>
    <w:tbl>
      <w:tblPr>
        <w:tblStyle w:val="6"/>
        <w:tblW w:w="7371" w:type="dxa"/>
        <w:tblInd w:w="988" w:type="dxa"/>
        <w:tblLayout w:type="autofit"/>
        <w:tblCellMar>
          <w:top w:w="0" w:type="dxa"/>
          <w:left w:w="108" w:type="dxa"/>
          <w:bottom w:w="0" w:type="dxa"/>
          <w:right w:w="108" w:type="dxa"/>
        </w:tblCellMar>
      </w:tblPr>
      <w:tblGrid>
        <w:gridCol w:w="992"/>
        <w:gridCol w:w="6379"/>
      </w:tblGrid>
      <w:tr>
        <w:tblPrEx>
          <w:tblCellMar>
            <w:top w:w="0" w:type="dxa"/>
            <w:left w:w="108" w:type="dxa"/>
            <w:bottom w:w="0" w:type="dxa"/>
            <w:right w:w="108" w:type="dxa"/>
          </w:tblCellMar>
        </w:tblPrEx>
        <w:trPr>
          <w:trHeight w:val="465" w:hRule="exact"/>
        </w:trPr>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序号</w:t>
            </w:r>
          </w:p>
        </w:tc>
        <w:tc>
          <w:tcPr>
            <w:tcW w:w="637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项目名称</w:t>
            </w:r>
          </w:p>
        </w:tc>
      </w:tr>
      <w:tr>
        <w:tblPrEx>
          <w:tblCellMar>
            <w:top w:w="0" w:type="dxa"/>
            <w:left w:w="108" w:type="dxa"/>
            <w:bottom w:w="0" w:type="dxa"/>
            <w:right w:w="108" w:type="dxa"/>
          </w:tblCellMar>
        </w:tblPrEx>
        <w:trPr>
          <w:trHeight w:val="964" w:hRule="exact"/>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333333"/>
                <w:sz w:val="32"/>
                <w:szCs w:val="32"/>
                <w:shd w:val="clear" w:color="auto" w:fill="FFFFFF"/>
                <w:lang w:eastAsia="zh-CN"/>
              </w:rPr>
            </w:pPr>
            <w:bookmarkStart w:id="1" w:name="_Hlk108770388"/>
            <w:r>
              <w:rPr>
                <w:rFonts w:hint="eastAsia" w:ascii="仿宋" w:hAnsi="仿宋" w:eastAsia="仿宋" w:cs="仿宋"/>
                <w:color w:val="333333"/>
                <w:sz w:val="32"/>
                <w:szCs w:val="32"/>
                <w:shd w:val="clear" w:color="auto" w:fill="FFFFFF"/>
                <w:lang w:eastAsia="zh-CN"/>
              </w:rPr>
              <w:t>1</w:t>
            </w:r>
          </w:p>
        </w:tc>
        <w:tc>
          <w:tcPr>
            <w:tcW w:w="63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洛阳市洛龙区S315线伊东渠桥-上行预防养护工程监理服务项目</w:t>
            </w:r>
          </w:p>
        </w:tc>
      </w:tr>
      <w:tr>
        <w:tblPrEx>
          <w:tblCellMar>
            <w:top w:w="0" w:type="dxa"/>
            <w:left w:w="108" w:type="dxa"/>
            <w:bottom w:w="0" w:type="dxa"/>
            <w:right w:w="108" w:type="dxa"/>
          </w:tblCellMar>
        </w:tblPrEx>
        <w:trPr>
          <w:trHeight w:val="97" w:hRule="exac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333333"/>
                <w:sz w:val="32"/>
                <w:szCs w:val="32"/>
                <w:shd w:val="clear" w:color="auto" w:fill="FFFFFF"/>
                <w:lang w:eastAsia="zh-CN"/>
              </w:rPr>
            </w:pPr>
          </w:p>
        </w:tc>
        <w:tc>
          <w:tcPr>
            <w:tcW w:w="6379" w:type="dxa"/>
            <w:vMerge w:val="continue"/>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333333"/>
                <w:sz w:val="32"/>
                <w:szCs w:val="32"/>
                <w:shd w:val="clear" w:color="auto" w:fill="FFFFFF"/>
                <w:lang w:eastAsia="zh-CN"/>
              </w:rPr>
            </w:pPr>
          </w:p>
        </w:tc>
      </w:tr>
      <w:tr>
        <w:tblPrEx>
          <w:tblCellMar>
            <w:top w:w="0" w:type="dxa"/>
            <w:left w:w="108" w:type="dxa"/>
            <w:bottom w:w="0" w:type="dxa"/>
            <w:right w:w="108" w:type="dxa"/>
          </w:tblCellMar>
        </w:tblPrEx>
        <w:trPr>
          <w:trHeight w:val="465" w:hRule="exact"/>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2</w:t>
            </w:r>
          </w:p>
        </w:tc>
        <w:tc>
          <w:tcPr>
            <w:tcW w:w="63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洛阳市洛龙区S315线龙门北桥-上行预防养护工程监理服务项目</w:t>
            </w:r>
          </w:p>
        </w:tc>
      </w:tr>
      <w:tr>
        <w:tblPrEx>
          <w:tblCellMar>
            <w:top w:w="0" w:type="dxa"/>
            <w:left w:w="108" w:type="dxa"/>
            <w:bottom w:w="0" w:type="dxa"/>
            <w:right w:w="108" w:type="dxa"/>
          </w:tblCellMar>
        </w:tblPrEx>
        <w:trPr>
          <w:trHeight w:val="97" w:hRule="exac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333333"/>
                <w:sz w:val="32"/>
                <w:szCs w:val="32"/>
                <w:shd w:val="clear" w:color="auto" w:fill="FFFFFF"/>
                <w:lang w:eastAsia="zh-CN"/>
              </w:rPr>
            </w:pPr>
          </w:p>
        </w:tc>
        <w:tc>
          <w:tcPr>
            <w:tcW w:w="63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333333"/>
                <w:sz w:val="32"/>
                <w:szCs w:val="32"/>
                <w:shd w:val="clear" w:color="auto" w:fill="FFFFFF"/>
                <w:lang w:eastAsia="zh-CN"/>
              </w:rPr>
            </w:pPr>
          </w:p>
        </w:tc>
      </w:tr>
      <w:tr>
        <w:tblPrEx>
          <w:tblCellMar>
            <w:top w:w="0" w:type="dxa"/>
            <w:left w:w="108" w:type="dxa"/>
            <w:bottom w:w="0" w:type="dxa"/>
            <w:right w:w="108" w:type="dxa"/>
          </w:tblCellMar>
        </w:tblPrEx>
        <w:trPr>
          <w:trHeight w:val="465" w:hRule="exact"/>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3</w:t>
            </w:r>
          </w:p>
        </w:tc>
        <w:tc>
          <w:tcPr>
            <w:tcW w:w="63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洛阳市洛龙区S315线大治渠桥-上行预防养护工程监理服务项目</w:t>
            </w:r>
          </w:p>
        </w:tc>
      </w:tr>
      <w:tr>
        <w:tblPrEx>
          <w:tblCellMar>
            <w:top w:w="0" w:type="dxa"/>
            <w:left w:w="108" w:type="dxa"/>
            <w:bottom w:w="0" w:type="dxa"/>
            <w:right w:w="108" w:type="dxa"/>
          </w:tblCellMar>
        </w:tblPrEx>
        <w:trPr>
          <w:trHeight w:val="97" w:hRule="exac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333333"/>
                <w:sz w:val="32"/>
                <w:szCs w:val="32"/>
                <w:shd w:val="clear" w:color="auto" w:fill="FFFFFF"/>
                <w:lang w:eastAsia="zh-CN"/>
              </w:rPr>
            </w:pPr>
          </w:p>
        </w:tc>
        <w:tc>
          <w:tcPr>
            <w:tcW w:w="63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333333"/>
                <w:sz w:val="32"/>
                <w:szCs w:val="32"/>
                <w:shd w:val="clear" w:color="auto" w:fill="FFFFFF"/>
                <w:lang w:eastAsia="zh-CN"/>
              </w:rPr>
            </w:pPr>
          </w:p>
        </w:tc>
      </w:tr>
      <w:tr>
        <w:tblPrEx>
          <w:tblCellMar>
            <w:top w:w="0" w:type="dxa"/>
            <w:left w:w="108" w:type="dxa"/>
            <w:bottom w:w="0" w:type="dxa"/>
            <w:right w:w="108" w:type="dxa"/>
          </w:tblCellMar>
        </w:tblPrEx>
        <w:trPr>
          <w:trHeight w:val="465" w:hRule="exact"/>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4</w:t>
            </w:r>
          </w:p>
        </w:tc>
        <w:tc>
          <w:tcPr>
            <w:tcW w:w="63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洛阳市偃师区G310线洛河大桥预防养护工程监理服务项目</w:t>
            </w:r>
          </w:p>
        </w:tc>
      </w:tr>
      <w:tr>
        <w:tblPrEx>
          <w:tblCellMar>
            <w:top w:w="0" w:type="dxa"/>
            <w:left w:w="108" w:type="dxa"/>
            <w:bottom w:w="0" w:type="dxa"/>
            <w:right w:w="108" w:type="dxa"/>
          </w:tblCellMar>
        </w:tblPrEx>
        <w:trPr>
          <w:trHeight w:val="97" w:hRule="exac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333333"/>
                <w:sz w:val="32"/>
                <w:szCs w:val="32"/>
                <w:shd w:val="clear" w:color="auto" w:fill="FFFFFF"/>
                <w:lang w:eastAsia="zh-CN"/>
              </w:rPr>
            </w:pPr>
          </w:p>
        </w:tc>
        <w:tc>
          <w:tcPr>
            <w:tcW w:w="63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333333"/>
                <w:sz w:val="32"/>
                <w:szCs w:val="32"/>
                <w:shd w:val="clear" w:color="auto" w:fill="FFFFFF"/>
                <w:lang w:eastAsia="zh-CN"/>
              </w:rPr>
            </w:pPr>
          </w:p>
        </w:tc>
      </w:tr>
      <w:tr>
        <w:tblPrEx>
          <w:tblCellMar>
            <w:top w:w="0" w:type="dxa"/>
            <w:left w:w="108" w:type="dxa"/>
            <w:bottom w:w="0" w:type="dxa"/>
            <w:right w:w="108" w:type="dxa"/>
          </w:tblCellMar>
        </w:tblPrEx>
        <w:trPr>
          <w:trHeight w:val="465" w:hRule="exact"/>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5</w:t>
            </w:r>
          </w:p>
        </w:tc>
        <w:tc>
          <w:tcPr>
            <w:tcW w:w="63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洛阳市偃师区S317线伊东渠桥预防养护工程监理服务项目</w:t>
            </w:r>
          </w:p>
        </w:tc>
      </w:tr>
      <w:tr>
        <w:tblPrEx>
          <w:tblCellMar>
            <w:top w:w="0" w:type="dxa"/>
            <w:left w:w="108" w:type="dxa"/>
            <w:bottom w:w="0" w:type="dxa"/>
            <w:right w:w="108" w:type="dxa"/>
          </w:tblCellMar>
        </w:tblPrEx>
        <w:trPr>
          <w:trHeight w:val="146" w:hRule="exac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333333"/>
                <w:sz w:val="32"/>
                <w:szCs w:val="32"/>
                <w:shd w:val="clear" w:color="auto" w:fill="FFFFFF"/>
                <w:lang w:eastAsia="zh-CN"/>
              </w:rPr>
            </w:pPr>
          </w:p>
        </w:tc>
        <w:tc>
          <w:tcPr>
            <w:tcW w:w="63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333333"/>
                <w:sz w:val="32"/>
                <w:szCs w:val="32"/>
                <w:shd w:val="clear" w:color="auto" w:fill="FFFFFF"/>
                <w:lang w:eastAsia="zh-CN"/>
              </w:rPr>
            </w:pPr>
          </w:p>
        </w:tc>
      </w:tr>
      <w:tr>
        <w:tblPrEx>
          <w:tblCellMar>
            <w:top w:w="0" w:type="dxa"/>
            <w:left w:w="108" w:type="dxa"/>
            <w:bottom w:w="0" w:type="dxa"/>
            <w:right w:w="108" w:type="dxa"/>
          </w:tblCellMar>
        </w:tblPrEx>
        <w:trPr>
          <w:trHeight w:val="465" w:hRule="exact"/>
        </w:trPr>
        <w:tc>
          <w:tcPr>
            <w:tcW w:w="9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6</w:t>
            </w:r>
          </w:p>
        </w:tc>
        <w:tc>
          <w:tcPr>
            <w:tcW w:w="63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eastAsia="zh-CN"/>
              </w:rPr>
              <w:t>洛阳市G310连共线高崖互通至王城大道桥段路面预防养护工程监理服务项目</w:t>
            </w:r>
          </w:p>
        </w:tc>
      </w:tr>
      <w:bookmarkEnd w:id="1"/>
      <w:tr>
        <w:tblPrEx>
          <w:tblCellMar>
            <w:top w:w="0" w:type="dxa"/>
            <w:left w:w="108" w:type="dxa"/>
            <w:bottom w:w="0" w:type="dxa"/>
            <w:right w:w="108" w:type="dxa"/>
          </w:tblCellMar>
        </w:tblPrEx>
        <w:trPr>
          <w:trHeight w:val="97" w:hRule="exac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4"/>
                <w:szCs w:val="24"/>
                <w:lang w:eastAsia="zh-CN"/>
              </w:rPr>
            </w:pPr>
          </w:p>
        </w:tc>
        <w:tc>
          <w:tcPr>
            <w:tcW w:w="63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sz w:val="24"/>
                <w:szCs w:val="24"/>
                <w:lang w:eastAsia="zh-CN"/>
              </w:rPr>
            </w:pPr>
          </w:p>
        </w:tc>
      </w:tr>
      <w:tr>
        <w:tblPrEx>
          <w:tblCellMar>
            <w:top w:w="0" w:type="dxa"/>
            <w:left w:w="108" w:type="dxa"/>
            <w:bottom w:w="0" w:type="dxa"/>
            <w:right w:w="108" w:type="dxa"/>
          </w:tblCellMar>
        </w:tblPrEx>
        <w:trPr>
          <w:trHeight w:val="97" w:hRule="exac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4"/>
                <w:szCs w:val="24"/>
                <w:lang w:eastAsia="zh-CN"/>
              </w:rPr>
            </w:pPr>
          </w:p>
        </w:tc>
        <w:tc>
          <w:tcPr>
            <w:tcW w:w="63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sz w:val="24"/>
                <w:szCs w:val="24"/>
                <w:lang w:eastAsia="zh-CN"/>
              </w:rPr>
            </w:pPr>
          </w:p>
        </w:tc>
      </w:tr>
      <w:tr>
        <w:tblPrEx>
          <w:tblCellMar>
            <w:top w:w="0" w:type="dxa"/>
            <w:left w:w="108" w:type="dxa"/>
            <w:bottom w:w="0" w:type="dxa"/>
            <w:right w:w="108" w:type="dxa"/>
          </w:tblCellMar>
        </w:tblPrEx>
        <w:trPr>
          <w:trHeight w:val="465" w:hRule="exact"/>
        </w:trPr>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 w:val="24"/>
                <w:szCs w:val="24"/>
                <w:lang w:eastAsia="zh-CN"/>
              </w:rPr>
            </w:pPr>
          </w:p>
        </w:tc>
        <w:tc>
          <w:tcPr>
            <w:tcW w:w="63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sz w:val="24"/>
                <w:szCs w:val="24"/>
                <w:lang w:eastAsia="zh-CN"/>
              </w:rPr>
            </w:pPr>
          </w:p>
        </w:tc>
      </w:tr>
    </w:tbl>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5.2采购范围：施工图纸、工程量清单所包含的施工监理服务及缺陷责任期内监理服务。</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5.3允许供应商对其中一个或多个标段进行响应，但只允许成交其中一个标段。若同一供应商被磋商小组推荐为多个标段的第一成交候选人，则确定其招标控制价金额最大的标段为第一成交候选人，其余标段按相应标段内评审排名先后顺序依次上升替补确定，不影响其他标段成交候选人的确定。</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6、监理服务期限：</w:t>
      </w:r>
      <w:r>
        <w:rPr>
          <w:rFonts w:hint="eastAsia" w:ascii="仿宋" w:hAnsi="仿宋" w:eastAsia="仿宋" w:cs="仿宋"/>
          <w:color w:val="333333"/>
          <w:sz w:val="32"/>
          <w:szCs w:val="32"/>
          <w:shd w:val="clear" w:color="auto" w:fill="FFFFFF"/>
        </w:rPr>
        <w:t>施工阶段(含缺陷责任期)全过程监理，其中：施工期（含施工准备期）：6个月，缺陷责任期：12个月。</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7、质量要求：</w:t>
      </w:r>
      <w:r>
        <w:rPr>
          <w:rFonts w:hint="eastAsia" w:ascii="仿宋" w:hAnsi="仿宋" w:eastAsia="仿宋" w:cs="仿宋"/>
          <w:color w:val="333333"/>
          <w:sz w:val="32"/>
          <w:szCs w:val="32"/>
          <w:shd w:val="clear" w:color="auto" w:fill="FFFFFF"/>
        </w:rPr>
        <w:t>工程交工验收的质量评定：合格；竣工验收的质量评定：优良。</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8、安全目标</w:t>
      </w:r>
      <w:r>
        <w:rPr>
          <w:rFonts w:hint="eastAsia" w:ascii="仿宋" w:hAnsi="仿宋" w:eastAsia="仿宋" w:cs="仿宋"/>
          <w:color w:val="333333"/>
          <w:sz w:val="32"/>
          <w:szCs w:val="32"/>
          <w:shd w:val="clear" w:color="auto" w:fill="FFFFFF"/>
        </w:rPr>
        <w:t>：安全生产零事故</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9、本项目是否接受联合体投标：</w:t>
      </w:r>
      <w:r>
        <w:rPr>
          <w:rFonts w:hint="eastAsia" w:ascii="仿宋" w:hAnsi="仿宋" w:eastAsia="仿宋" w:cs="仿宋"/>
          <w:color w:val="333333"/>
          <w:sz w:val="32"/>
          <w:szCs w:val="32"/>
          <w:shd w:val="clear" w:color="auto" w:fill="FFFFFF"/>
        </w:rPr>
        <w:t>否</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10、是否接受进口产品：</w:t>
      </w:r>
      <w:r>
        <w:rPr>
          <w:rFonts w:hint="eastAsia" w:ascii="仿宋" w:hAnsi="仿宋" w:eastAsia="仿宋" w:cs="仿宋"/>
          <w:color w:val="333333"/>
          <w:sz w:val="32"/>
          <w:szCs w:val="32"/>
          <w:shd w:val="clear" w:color="auto" w:fill="FFFFFF"/>
        </w:rPr>
        <w:t>否</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二、申请人资格要求</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1、满足《中华人民共和国政府采购法》第二十二条规定；</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2、落实政府采购政策满足的资格要求：</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本项目专门面向中小微（监狱、残疾人福利性单位）企业。</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3、本项目的特定资格要求</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3.1、供应商须具有有效的营业执照、税务登记证、组织机构代码证（或三证合一的企业法人营业执照），供应商应进入交通运输部“全国公路建设市场信用信息管理系统(http：//glxy.mot.gov.cn)”中的公路工程施工监理资质企业名录，且供应商名称和资质与该名录中的相应企业名称和资质完全一致。</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3.2、资质要求：供应商须具备交通运输主管部门颁发的公路工程专业监理甲级(含)及以上资质；且信誉良好，并在人员、设备、资金等方面具备相应的能力。</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3.3、拟派项目总监须具有公路工程相关专业中级技术职称；取得交通运输部颁发的公路工程行业监理工程师资格证书，须提供劳动合同及2021年10月1日以来本单位为其缴纳的任意连续6个月的社保证明（以社保中心网页下载形式并加盖企业公章或社保中心出具的社保查询证明为准）；不得有在监工程，并出具无在监项目承诺书(格式自拟)。</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3.4、根据洛采购〔2021〕11 号《洛阳市财政局关于推行政府采购信用承诺制的通知》，供应商需提供洛阳市政府采购供应商信用承诺函（采购人有权在签订合同前要求成交供应商提供相关证明材料以核实成交供应商承诺事项的真实性）；</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注：供应商在投标（响应）时，按照规定提供相关承诺函（格式详见磋商文件），无需提供上述证明材料；采购人有权在签订合同前要求成交供应商提供相关证明材料以核实成交供应商承诺事项的真实性。</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3.5、供应商应具有良好的信誉，没有处于被责令停业，投标资格被取消，财产被接管、冻结、破产状态，最近三年内没有骗取中标或者严重违约等问题，无不良行为记录；(供应商出具承诺书，格式自拟)。</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3.6、供应商被列入中国政府采购网(http://www.ccgp.gov.cn/)“政府招标严重违法失信行为记录名单”的（指政府招标行政处罚有效期内），被列入中国执行信息公开网（http://zxgk.court.gov.cn/，也即全国法院失信被执行人名单信息公布与查询网）“失信被执行人”的、被列入国家税务总局网站（www.chinatax.gov.cn/）——重大案件查询栏目“重大税收违法失信案件信息”的供应商将被拒绝参加投标。供应商须提供招标公告发布之日起在上述网站相关栏目的查询结果，应当将查询结果清晰展开并显示该网页网址，否则视同未提供。</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3.7、根据《河南省公路建设市场从业单位及人员信用管理办法》，企业信用等级评价被交通运输部或河南省交通运输厅评定为D级(黑名单)且处于“黑名单”有效期内的企业不得参与本项目投标。</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3.8、与采购人存在利害关系可能影响招标公正性的单位，不得参加投标。单位负责人为同一人或存在控股、管理关系的不同单位，不得参加本项目投标，否则，相关投标均无效。</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3.9、本项目不接受联合体投标。</w:t>
      </w:r>
    </w:p>
    <w:p>
      <w:pPr>
        <w:pStyle w:val="5"/>
        <w:widowControl/>
        <w:spacing w:before="0" w:beforeAutospacing="0" w:after="0" w:afterAutospacing="0" w:line="480" w:lineRule="auto"/>
        <w:ind w:left="900" w:firstLine="592"/>
        <w:jc w:val="both"/>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上述内容作为资格后审时审查的内容，响应文件中须附以上资料原件的复印件，并加盖单位公章，否则其投标将被否决。（注：涉及相关证书、各类证件均不得伪造、涂改，如发现供应商有弄虚作假或伪造、涂改证件者，将取消其资格后审合格资格，并按国家有关规定处理。）</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三、获取竞争性磋商文件</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1、时间：2022年7月19日至2022年7月25日，每天上午8:30至12:00，下午15:00至18:00（北京时间，法定节假日除外。）</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2、地点：洛阳市洛龙区经五路与洛宜路交叉口东宇大厦28楼2819</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3、方式：携加盖公章的营业执照复印件、法人授权委托书原件、加盖公章的法定代表人身份证明及被授权人身份证原件，逾期不候。</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4、售价：100元/份，售后不退。</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四、响应文件递交截止时间及地点</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1、时间：2022年</w:t>
      </w:r>
      <w:r>
        <w:rPr>
          <w:rFonts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rPr>
        <w:t>月</w:t>
      </w:r>
      <w:r>
        <w:rPr>
          <w:rFonts w:ascii="仿宋" w:hAnsi="仿宋" w:eastAsia="仿宋" w:cs="仿宋"/>
          <w:color w:val="333333"/>
          <w:sz w:val="32"/>
          <w:szCs w:val="32"/>
          <w:shd w:val="clear" w:color="auto" w:fill="FFFFFF"/>
        </w:rPr>
        <w:t>29</w:t>
      </w:r>
      <w:r>
        <w:rPr>
          <w:rFonts w:hint="eastAsia" w:ascii="仿宋" w:hAnsi="仿宋" w:eastAsia="仿宋" w:cs="仿宋"/>
          <w:color w:val="333333"/>
          <w:sz w:val="32"/>
          <w:szCs w:val="32"/>
          <w:shd w:val="clear" w:color="auto" w:fill="FFFFFF"/>
        </w:rPr>
        <w:t>日1</w:t>
      </w:r>
      <w:r>
        <w:rPr>
          <w:rFonts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rPr>
        <w:t>时</w:t>
      </w:r>
      <w:r>
        <w:rPr>
          <w:rFonts w:ascii="仿宋" w:hAnsi="仿宋" w:eastAsia="仿宋" w:cs="仿宋"/>
          <w:color w:val="333333"/>
          <w:sz w:val="32"/>
          <w:szCs w:val="32"/>
          <w:shd w:val="clear" w:color="auto" w:fill="FFFFFF"/>
        </w:rPr>
        <w:t>0</w:t>
      </w:r>
      <w:r>
        <w:rPr>
          <w:rFonts w:hint="eastAsia" w:ascii="仿宋" w:hAnsi="仿宋" w:eastAsia="仿宋" w:cs="仿宋"/>
          <w:color w:val="333333"/>
          <w:sz w:val="32"/>
          <w:szCs w:val="32"/>
          <w:shd w:val="clear" w:color="auto" w:fill="FFFFFF"/>
        </w:rPr>
        <w:t>0分（北京时间）</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2、地点：洛阳市洛龙区经五路与洛宜路交叉口东宇大厦28楼开标室。</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五、磋商开启时间及地点</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1、时间：2022年</w:t>
      </w:r>
      <w:r>
        <w:rPr>
          <w:rFonts w:ascii="仿宋" w:hAnsi="仿宋" w:eastAsia="仿宋" w:cs="仿宋"/>
          <w:color w:val="333333"/>
          <w:sz w:val="32"/>
          <w:szCs w:val="32"/>
          <w:shd w:val="clear" w:color="auto" w:fill="FFFFFF"/>
        </w:rPr>
        <w:t>7</w:t>
      </w:r>
      <w:r>
        <w:rPr>
          <w:rFonts w:hint="eastAsia" w:ascii="仿宋" w:hAnsi="仿宋" w:eastAsia="仿宋" w:cs="仿宋"/>
          <w:color w:val="333333"/>
          <w:sz w:val="32"/>
          <w:szCs w:val="32"/>
          <w:shd w:val="clear" w:color="auto" w:fill="FFFFFF"/>
        </w:rPr>
        <w:t>月</w:t>
      </w:r>
      <w:r>
        <w:rPr>
          <w:rFonts w:ascii="仿宋" w:hAnsi="仿宋" w:eastAsia="仿宋" w:cs="仿宋"/>
          <w:color w:val="333333"/>
          <w:sz w:val="32"/>
          <w:szCs w:val="32"/>
          <w:shd w:val="clear" w:color="auto" w:fill="FFFFFF"/>
        </w:rPr>
        <w:t>29</w:t>
      </w:r>
      <w:r>
        <w:rPr>
          <w:rFonts w:hint="eastAsia" w:ascii="仿宋" w:hAnsi="仿宋" w:eastAsia="仿宋" w:cs="仿宋"/>
          <w:color w:val="333333"/>
          <w:sz w:val="32"/>
          <w:szCs w:val="32"/>
          <w:shd w:val="clear" w:color="auto" w:fill="FFFFFF"/>
        </w:rPr>
        <w:t>日1</w:t>
      </w:r>
      <w:r>
        <w:rPr>
          <w:rFonts w:ascii="仿宋" w:hAnsi="仿宋" w:eastAsia="仿宋" w:cs="仿宋"/>
          <w:color w:val="333333"/>
          <w:sz w:val="32"/>
          <w:szCs w:val="32"/>
          <w:shd w:val="clear" w:color="auto" w:fill="FFFFFF"/>
        </w:rPr>
        <w:t>5</w:t>
      </w:r>
      <w:r>
        <w:rPr>
          <w:rFonts w:hint="eastAsia" w:ascii="仿宋" w:hAnsi="仿宋" w:eastAsia="仿宋" w:cs="仿宋"/>
          <w:color w:val="333333"/>
          <w:sz w:val="32"/>
          <w:szCs w:val="32"/>
          <w:shd w:val="clear" w:color="auto" w:fill="FFFFFF"/>
        </w:rPr>
        <w:t>时</w:t>
      </w:r>
      <w:r>
        <w:rPr>
          <w:rFonts w:ascii="仿宋" w:hAnsi="仿宋" w:eastAsia="仿宋" w:cs="仿宋"/>
          <w:color w:val="333333"/>
          <w:sz w:val="32"/>
          <w:szCs w:val="32"/>
          <w:shd w:val="clear" w:color="auto" w:fill="FFFFFF"/>
        </w:rPr>
        <w:t>0</w:t>
      </w:r>
      <w:r>
        <w:rPr>
          <w:rFonts w:hint="eastAsia" w:ascii="仿宋" w:hAnsi="仿宋" w:eastAsia="仿宋" w:cs="仿宋"/>
          <w:color w:val="333333"/>
          <w:sz w:val="32"/>
          <w:szCs w:val="32"/>
          <w:shd w:val="clear" w:color="auto" w:fill="FFFFFF"/>
        </w:rPr>
        <w:t>0分（北京时间）</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2、地点：洛阳市洛龙区经五路与洛宜路交叉口东宇大厦28楼开标室。</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六、发布公告的媒介及采购公告期限</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次采购公告在《河南省(洛阳)政府采购网》、《河南省电子招投标公共服务平台》和《中国招标投标公共服务平台》、《洛阳市公路事业发展中心》上发布。采购公告期限为五个工作日，2022年7月19日至2022年7月25日。</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七、其他补充事宜</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供应商在参与本项目招标采购活动期间应及时关注《河南省(洛阳)政府采购网》、《河南省电子招投标公共服务平台》和《中国招标投标公共服务平台》、《洛阳市公路事业发展中心》等网站获取相关澄清或变更等信息（如有）。</w:t>
      </w:r>
    </w:p>
    <w:p>
      <w:pPr>
        <w:pStyle w:val="5"/>
        <w:widowControl/>
        <w:spacing w:before="0" w:beforeAutospacing="0" w:after="0" w:afterAutospacing="0" w:line="480" w:lineRule="auto"/>
        <w:ind w:left="900"/>
        <w:jc w:val="both"/>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八、凡对本次招标提出询问，请按照以下方式联系</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1、采购人信息</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名称：洛阳市公路事业发展中心</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地址：洛阳市南昌路172号</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联系人：吴先生</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电话：0379-63200251</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2、采购代理机构信息</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名称：万安建设发展河南有限公司</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地址：洛阳市洛龙区经五路与洛宜路交叉口东宇大厦28楼</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联系人：康女士</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联系方式：0379-69899369</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3、项目联系方式</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联系人：康女士</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联系方式：0379-69899369</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4、监督部门、联系人和联系方式</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监督部门：洛阳市交通运输局</w:t>
      </w:r>
    </w:p>
    <w:p>
      <w:pPr>
        <w:pStyle w:val="5"/>
        <w:widowControl/>
        <w:spacing w:before="0" w:beforeAutospacing="0" w:after="0" w:afterAutospacing="0" w:line="480" w:lineRule="auto"/>
        <w:ind w:left="900" w:firstLine="592"/>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监督部门联系人：洛阳市交通运输局</w:t>
      </w:r>
    </w:p>
    <w:p>
      <w:pPr>
        <w:pStyle w:val="5"/>
        <w:widowControl/>
        <w:spacing w:before="0" w:beforeAutospacing="0" w:after="0" w:afterAutospacing="0" w:line="480" w:lineRule="auto"/>
        <w:ind w:left="900" w:firstLine="592"/>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联系方式：0379-63218170</w:t>
      </w:r>
    </w:p>
    <w:p>
      <w:pPr>
        <w:pStyle w:val="5"/>
        <w:widowControl/>
        <w:spacing w:before="0" w:beforeAutospacing="0" w:after="0" w:afterAutospacing="0" w:line="480" w:lineRule="auto"/>
        <w:ind w:left="900"/>
        <w:jc w:val="both"/>
        <w:rPr>
          <w:rFonts w:ascii="仿宋" w:hAnsi="仿宋" w:eastAsia="仿宋" w:cs="仿宋"/>
          <w:color w:val="333333"/>
          <w:sz w:val="32"/>
          <w:szCs w:val="32"/>
          <w:shd w:val="clear" w:color="auto" w:fill="FFFFFF"/>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4ZmIyMGY3NGY0Nzk4NzllMDc3YjE5N2JjODJiOWYifQ=="/>
  </w:docVars>
  <w:rsids>
    <w:rsidRoot w:val="006D268D"/>
    <w:rsid w:val="00250861"/>
    <w:rsid w:val="003E1A97"/>
    <w:rsid w:val="00582FDF"/>
    <w:rsid w:val="006D268D"/>
    <w:rsid w:val="007F3530"/>
    <w:rsid w:val="00924E6C"/>
    <w:rsid w:val="00B9129A"/>
    <w:rsid w:val="00D83216"/>
    <w:rsid w:val="00EE2BE6"/>
    <w:rsid w:val="72DC6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Calibri" w:hAnsi="Calibri" w:eastAsia="宋体" w:cs="Times New Roman"/>
      <w:kern w:val="0"/>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semiHidden/>
    <w:unhideWhenUsed/>
    <w:uiPriority w:val="99"/>
    <w:pPr>
      <w:spacing w:after="120"/>
    </w:pPr>
  </w:style>
  <w:style w:type="paragraph" w:styleId="3">
    <w:name w:val="footer"/>
    <w:basedOn w:val="1"/>
    <w:link w:val="9"/>
    <w:unhideWhenUsed/>
    <w:uiPriority w:val="99"/>
    <w:pPr>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5">
    <w:name w:val="Normal (Web)"/>
    <w:basedOn w:val="1"/>
    <w:uiPriority w:val="0"/>
    <w:pPr>
      <w:spacing w:before="100" w:beforeAutospacing="1" w:after="100" w:afterAutospacing="1"/>
    </w:pPr>
    <w:rPr>
      <w:sz w:val="24"/>
      <w:szCs w:val="24"/>
      <w:lang w:eastAsia="zh-CN"/>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正文文本 字符"/>
    <w:basedOn w:val="7"/>
    <w:link w:val="2"/>
    <w:semiHidden/>
    <w:uiPriority w:val="99"/>
    <w:rPr>
      <w:rFonts w:ascii="Calibri" w:hAnsi="Calibri" w:eastAsia="宋体" w:cs="Times New Roman"/>
      <w:kern w:val="0"/>
      <w:sz w:val="22"/>
      <w:lang w:eastAsia="en-US"/>
    </w:rPr>
  </w:style>
  <w:style w:type="paragraph" w:customStyle="1" w:styleId="11">
    <w:name w:val="*正文_0_0"/>
    <w:basedOn w:val="12"/>
    <w:next w:val="12"/>
    <w:qFormat/>
    <w:uiPriority w:val="0"/>
    <w:pPr>
      <w:widowControl/>
      <w:ind w:firstLine="482"/>
    </w:pPr>
    <w:rPr>
      <w:rFonts w:ascii="微软雅黑" w:hAnsi="微软雅黑" w:eastAsia="微软雅黑"/>
      <w:kern w:val="0"/>
      <w:szCs w:val="20"/>
    </w:rPr>
  </w:style>
  <w:style w:type="paragraph" w:customStyle="1" w:styleId="12">
    <w:name w:val="正文_0_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2702</Words>
  <Characters>3001</Characters>
  <Lines>22</Lines>
  <Paragraphs>6</Paragraphs>
  <TotalTime>4</TotalTime>
  <ScaleCrop>false</ScaleCrop>
  <LinksUpToDate>false</LinksUpToDate>
  <CharactersWithSpaces>3002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2022-07-18T06:13:00Z</dcterms:created>
  <dc:creator>NTKO</dc:creator>
  <cp:lastModifiedBy>NTKO</cp:lastModifiedBy>
  <dcterms:modified xsi:type="dcterms:W3CDTF">2022-07-18T07:28:54Z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964F832317F944478A0CDBB721E0F610</vt:lpwstr>
  </property>
</Properties>
</file>