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numPr>
          <w:numId w:val="0"/>
        </w:numPr>
        <w:wordWrap w:val="0"/>
        <w:spacing w:line="600" w:lineRule="atLeast"/>
        <w:ind w:leftChars="0"/>
        <w:jc w:val="cente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G344东灵线汝州汝阳交界至洛峪段改建工程施工监理</w:t>
      </w:r>
    </w:p>
    <w:p>
      <w:pPr>
        <w:pStyle w:val="7"/>
        <w:widowControl/>
        <w:numPr>
          <w:numId w:val="0"/>
        </w:numPr>
        <w:wordWrap w:val="0"/>
        <w:spacing w:line="600" w:lineRule="atLeast"/>
        <w:ind w:leftChars="0"/>
        <w:jc w:val="cente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中标候选人公示</w:t>
      </w:r>
      <w:bookmarkStart w:id="1" w:name="_GoBack"/>
      <w:bookmarkEnd w:id="1"/>
    </w:p>
    <w:p>
      <w:pPr>
        <w:pStyle w:val="7"/>
        <w:widowControl/>
        <w:numPr>
          <w:ilvl w:val="0"/>
          <w:numId w:val="1"/>
        </w:numPr>
        <w:wordWrap w:val="0"/>
        <w:spacing w:line="600" w:lineRule="atLeast"/>
        <w:ind w:firstLineChars="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开标信息：</w:t>
      </w:r>
    </w:p>
    <w:p>
      <w:pPr>
        <w:widowControl/>
        <w:wordWrap w:val="0"/>
        <w:spacing w:line="600" w:lineRule="atLeast"/>
        <w:ind w:firstLine="480" w:firstLineChars="1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第一中标候选人：河南恒通工程监理咨询有限公司</w:t>
      </w:r>
    </w:p>
    <w:p>
      <w:pPr>
        <w:widowControl/>
        <w:wordWrap w:val="0"/>
        <w:spacing w:line="600" w:lineRule="atLeast"/>
        <w:ind w:firstLine="480" w:firstLineChars="1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投标报价：4920000元</w:t>
      </w:r>
    </w:p>
    <w:p>
      <w:pPr>
        <w:widowControl/>
        <w:wordWrap w:val="0"/>
        <w:spacing w:line="600" w:lineRule="atLeast"/>
        <w:ind w:left="2079" w:leftChars="228" w:hanging="1600" w:hangingChars="50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质量承诺：工程交工验收的质量评定：合格竣工验收的</w:t>
      </w:r>
    </w:p>
    <w:p>
      <w:pPr>
        <w:widowControl/>
        <w:wordWrap w:val="0"/>
        <w:spacing w:line="600" w:lineRule="atLeast"/>
        <w:ind w:firstLine="2080" w:firstLineChars="6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质量评定：优良</w:t>
      </w:r>
    </w:p>
    <w:p>
      <w:pPr>
        <w:widowControl/>
        <w:wordWrap w:val="0"/>
        <w:spacing w:line="600" w:lineRule="atLeast"/>
        <w:ind w:left="2079" w:leftChars="228" w:hanging="1600" w:hangingChars="50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工    期：48个月，其中施工期（含施工准备期）：24个月。缺陷责任期 ：24 个月</w:t>
      </w:r>
    </w:p>
    <w:p>
      <w:pPr>
        <w:widowControl/>
        <w:wordWrap w:val="0"/>
        <w:spacing w:line="600" w:lineRule="atLeast"/>
        <w:ind w:firstLine="480" w:firstLineChars="1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第二中标候选人：河南高建工程管理有限公司</w:t>
      </w:r>
    </w:p>
    <w:p>
      <w:pPr>
        <w:widowControl/>
        <w:wordWrap w:val="0"/>
        <w:spacing w:line="600" w:lineRule="atLeast"/>
        <w:ind w:firstLine="480" w:firstLineChars="1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投标报价：4930000元</w:t>
      </w:r>
    </w:p>
    <w:p>
      <w:pPr>
        <w:widowControl/>
        <w:wordWrap w:val="0"/>
        <w:spacing w:line="600" w:lineRule="atLeast"/>
        <w:ind w:left="1279" w:leftChars="228" w:hanging="800" w:hangingChars="2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质量承诺：工程交工验收的质量评定：合格竣工验收的</w:t>
      </w:r>
    </w:p>
    <w:p>
      <w:pPr>
        <w:widowControl/>
        <w:wordWrap w:val="0"/>
        <w:spacing w:line="600" w:lineRule="atLeast"/>
        <w:ind w:left="1277" w:leftChars="608" w:firstLine="800" w:firstLineChars="2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质量评定：优良</w:t>
      </w:r>
    </w:p>
    <w:p>
      <w:pPr>
        <w:widowControl/>
        <w:wordWrap w:val="0"/>
        <w:spacing w:line="600" w:lineRule="atLeast"/>
        <w:ind w:left="2079" w:leftChars="228" w:hanging="1600" w:hangingChars="50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工    期：48个月，其中施工期（含施工准备期）：24个月。缺陷责任期 ：24 个月</w:t>
      </w:r>
    </w:p>
    <w:p>
      <w:pPr>
        <w:widowControl/>
        <w:wordWrap w:val="0"/>
        <w:spacing w:line="600" w:lineRule="atLeast"/>
        <w:ind w:firstLine="480" w:firstLineChars="1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第三中标候选人：河南海威路桥工程咨询有限公司</w:t>
      </w:r>
    </w:p>
    <w:p>
      <w:pPr>
        <w:widowControl/>
        <w:wordWrap w:val="0"/>
        <w:spacing w:line="600" w:lineRule="atLeast"/>
        <w:ind w:firstLine="480" w:firstLineChars="1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投标报价：4926003元</w:t>
      </w:r>
    </w:p>
    <w:p>
      <w:pPr>
        <w:widowControl/>
        <w:wordWrap w:val="0"/>
        <w:spacing w:line="600" w:lineRule="atLeast"/>
        <w:ind w:firstLine="480" w:firstLineChars="1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质量承诺：工程交工验收的质量评定：合格竣工验收的</w:t>
      </w:r>
    </w:p>
    <w:p>
      <w:pPr>
        <w:widowControl/>
        <w:wordWrap w:val="0"/>
        <w:spacing w:line="600" w:lineRule="atLeast"/>
        <w:ind w:firstLine="2080" w:firstLineChars="65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质量评定：优良</w:t>
      </w:r>
    </w:p>
    <w:p>
      <w:pPr>
        <w:widowControl/>
        <w:wordWrap w:val="0"/>
        <w:spacing w:line="600" w:lineRule="atLeast"/>
        <w:ind w:left="2079" w:leftChars="228" w:hanging="1600" w:hangingChars="50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工    期：48个月，其中施工期（含施工准备期）：24个月。缺陷责任期 ：24 个月</w:t>
      </w:r>
    </w:p>
    <w:p>
      <w:pPr>
        <w:pStyle w:val="7"/>
        <w:widowControl/>
        <w:numPr>
          <w:ilvl w:val="0"/>
          <w:numId w:val="1"/>
        </w:numPr>
        <w:spacing w:line="600" w:lineRule="atLeast"/>
        <w:ind w:firstLineChars="0"/>
        <w:jc w:val="left"/>
        <w:rPr>
          <w:rFonts w:ascii="宋体" w:hAnsi="宋体" w:eastAsia="宋体" w:cs="宋体"/>
          <w:color w:val="333333"/>
          <w:kern w:val="0"/>
          <w:sz w:val="32"/>
          <w:szCs w:val="32"/>
        </w:rPr>
      </w:pPr>
      <w:r>
        <w:rPr>
          <w:rFonts w:hint="eastAsia" w:ascii="宋体" w:hAnsi="宋体" w:eastAsia="宋体" w:cs="宋体"/>
          <w:color w:val="333333"/>
          <w:kern w:val="0"/>
          <w:sz w:val="32"/>
          <w:szCs w:val="32"/>
        </w:rPr>
        <w:t>评标信息</w:t>
      </w:r>
    </w:p>
    <w:p>
      <w:pPr>
        <w:widowControl/>
        <w:wordWrap w:val="0"/>
        <w:spacing w:line="480" w:lineRule="atLeast"/>
        <w:rPr>
          <w:rFonts w:hint="eastAsia"/>
          <w:color w:val="333333"/>
          <w:sz w:val="32"/>
          <w:szCs w:val="32"/>
        </w:rPr>
      </w:pPr>
      <w:r>
        <w:rPr>
          <w:rFonts w:hint="eastAsia" w:ascii="微软雅黑" w:hAnsi="微软雅黑" w:eastAsia="微软雅黑" w:cs="宋体"/>
          <w:color w:val="333333"/>
          <w:kern w:val="0"/>
          <w:szCs w:val="21"/>
        </w:rPr>
        <w:t> 1</w:t>
      </w:r>
      <w:r>
        <w:rPr>
          <w:rFonts w:hint="eastAsia" w:ascii="宋体" w:hAnsi="宋体" w:eastAsia="宋体" w:cs="宋体"/>
          <w:color w:val="333333"/>
          <w:kern w:val="0"/>
          <w:sz w:val="32"/>
          <w:szCs w:val="32"/>
        </w:rPr>
        <w:t>、否决投标情况：</w:t>
      </w:r>
      <w:r>
        <w:rPr>
          <w:rFonts w:hint="eastAsia"/>
          <w:color w:val="333333"/>
          <w:sz w:val="32"/>
          <w:szCs w:val="32"/>
        </w:rPr>
        <w:t>中交国通公路工程技术有限公司的投标文件投标函中委托代理人的签字不符合招标文件规定，根据招标文件形式评审与响应性评审标准（2）项规定，第一信封评审不通过。</w:t>
      </w:r>
    </w:p>
    <w:p>
      <w:pPr>
        <w:widowControl/>
        <w:wordWrap w:val="0"/>
        <w:spacing w:line="480" w:lineRule="atLeast"/>
        <w:rPr>
          <w:color w:val="333333"/>
          <w:sz w:val="32"/>
          <w:szCs w:val="32"/>
        </w:rPr>
      </w:pPr>
      <w:r>
        <w:rPr>
          <w:rFonts w:hint="eastAsia"/>
          <w:color w:val="333333"/>
          <w:sz w:val="32"/>
          <w:szCs w:val="32"/>
        </w:rPr>
        <w:t>2、评标委员会对中标候选人的评审打分情况：</w:t>
      </w:r>
      <w:bookmarkStart w:id="0" w:name="OLE_LINK1"/>
    </w:p>
    <w:tbl>
      <w:tblPr>
        <w:tblStyle w:val="5"/>
        <w:tblpPr w:leftFromText="180" w:rightFromText="180" w:vertAnchor="text" w:horzAnchor="margin" w:tblpY="382"/>
        <w:tblW w:w="9299" w:type="dxa"/>
        <w:tblInd w:w="0" w:type="dxa"/>
        <w:shd w:val="clear" w:color="auto" w:fill="FFFFFF"/>
        <w:tblLayout w:type="autofit"/>
        <w:tblCellMar>
          <w:top w:w="0" w:type="dxa"/>
          <w:left w:w="0" w:type="dxa"/>
          <w:bottom w:w="0" w:type="dxa"/>
          <w:right w:w="0" w:type="dxa"/>
        </w:tblCellMar>
      </w:tblPr>
      <w:tblGrid>
        <w:gridCol w:w="1132"/>
        <w:gridCol w:w="1556"/>
        <w:gridCol w:w="1323"/>
        <w:gridCol w:w="1321"/>
        <w:gridCol w:w="1323"/>
        <w:gridCol w:w="1321"/>
        <w:gridCol w:w="1323"/>
      </w:tblGrid>
      <w:tr>
        <w:tblPrEx>
          <w:shd w:val="clear" w:color="auto" w:fill="FFFFFF"/>
          <w:tblCellMar>
            <w:top w:w="0" w:type="dxa"/>
            <w:left w:w="0" w:type="dxa"/>
            <w:bottom w:w="0" w:type="dxa"/>
            <w:right w:w="0" w:type="dxa"/>
          </w:tblCellMar>
        </w:tblPrEx>
        <w:trPr>
          <w:trHeight w:val="498" w:hRule="atLeast"/>
        </w:trPr>
        <w:tc>
          <w:tcPr>
            <w:tcW w:w="1132"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jc w:val="center"/>
              <w:rPr>
                <w:rFonts w:ascii="宋体" w:hAnsi="宋体" w:eastAsia="宋体" w:cs="宋体"/>
                <w:color w:val="333333"/>
                <w:kern w:val="0"/>
                <w:szCs w:val="21"/>
              </w:rPr>
            </w:pP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jc w:val="center"/>
              <w:rPr>
                <w:rFonts w:ascii="宋体" w:hAnsi="宋体" w:eastAsia="宋体" w:cs="宋体"/>
                <w:color w:val="333333"/>
                <w:kern w:val="0"/>
                <w:szCs w:val="21"/>
              </w:rPr>
            </w:pP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专家1</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专家2</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专家3</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专家4</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专家5</w:t>
            </w:r>
          </w:p>
        </w:tc>
      </w:tr>
      <w:tr>
        <w:tblPrEx>
          <w:tblCellMar>
            <w:top w:w="0" w:type="dxa"/>
            <w:left w:w="0" w:type="dxa"/>
            <w:bottom w:w="0" w:type="dxa"/>
            <w:right w:w="0" w:type="dxa"/>
          </w:tblCellMar>
        </w:tblPrEx>
        <w:trPr>
          <w:trHeight w:val="514" w:hRule="atLeast"/>
        </w:trPr>
        <w:tc>
          <w:tcPr>
            <w:tcW w:w="1132" w:type="dxa"/>
            <w:vMerge w:val="restart"/>
            <w:tcBorders>
              <w:top w:val="single" w:color="696969" w:sz="6" w:space="0"/>
              <w:left w:val="single" w:color="696969" w:sz="6" w:space="0"/>
              <w:bottom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第一中标候选人</w:t>
            </w: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报价部分</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9.94</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9.94</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9.94</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9.94</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9.94</w:t>
            </w:r>
          </w:p>
        </w:tc>
      </w:tr>
      <w:tr>
        <w:tblPrEx>
          <w:tblCellMar>
            <w:top w:w="0" w:type="dxa"/>
            <w:left w:w="0" w:type="dxa"/>
            <w:bottom w:w="0" w:type="dxa"/>
            <w:right w:w="0" w:type="dxa"/>
          </w:tblCellMar>
        </w:tblPrEx>
        <w:trPr>
          <w:trHeight w:val="498" w:hRule="atLeast"/>
        </w:trPr>
        <w:tc>
          <w:tcPr>
            <w:tcW w:w="1132" w:type="dxa"/>
            <w:vMerge w:val="continue"/>
            <w:tcBorders>
              <w:top w:val="single" w:color="696969" w:sz="6" w:space="0"/>
              <w:left w:val="single" w:color="696969" w:sz="6" w:space="0"/>
              <w:bottom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技术部分</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30.20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33.00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33.40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31.80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33.80</w:t>
            </w:r>
          </w:p>
        </w:tc>
      </w:tr>
      <w:tr>
        <w:tblPrEx>
          <w:tblCellMar>
            <w:top w:w="0" w:type="dxa"/>
            <w:left w:w="0" w:type="dxa"/>
            <w:bottom w:w="0" w:type="dxa"/>
            <w:right w:w="0" w:type="dxa"/>
          </w:tblCellMar>
        </w:tblPrEx>
        <w:trPr>
          <w:trHeight w:val="514" w:hRule="atLeast"/>
        </w:trPr>
        <w:tc>
          <w:tcPr>
            <w:tcW w:w="1132" w:type="dxa"/>
            <w:vMerge w:val="continue"/>
            <w:tcBorders>
              <w:top w:val="single" w:color="696969" w:sz="6" w:space="0"/>
              <w:left w:val="single" w:color="696969" w:sz="6" w:space="0"/>
              <w:bottom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综合部分</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55.00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55.00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55.00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55.00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55.00</w:t>
            </w:r>
          </w:p>
        </w:tc>
      </w:tr>
      <w:tr>
        <w:tblPrEx>
          <w:tblCellMar>
            <w:top w:w="0" w:type="dxa"/>
            <w:left w:w="0" w:type="dxa"/>
            <w:bottom w:w="0" w:type="dxa"/>
            <w:right w:w="0" w:type="dxa"/>
          </w:tblCellMar>
        </w:tblPrEx>
        <w:trPr>
          <w:trHeight w:val="498" w:hRule="atLeast"/>
        </w:trPr>
        <w:tc>
          <w:tcPr>
            <w:tcW w:w="1132" w:type="dxa"/>
            <w:vMerge w:val="continue"/>
            <w:tcBorders>
              <w:top w:val="single" w:color="696969" w:sz="6" w:space="0"/>
              <w:left w:val="single" w:color="696969" w:sz="6" w:space="0"/>
              <w:bottom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汇总</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95.14</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97.94</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98.34</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96.74</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98.74</w:t>
            </w:r>
          </w:p>
        </w:tc>
      </w:tr>
      <w:tr>
        <w:tblPrEx>
          <w:tblCellMar>
            <w:top w:w="0" w:type="dxa"/>
            <w:left w:w="0" w:type="dxa"/>
            <w:bottom w:w="0" w:type="dxa"/>
            <w:right w:w="0" w:type="dxa"/>
          </w:tblCellMar>
        </w:tblPrEx>
        <w:trPr>
          <w:trHeight w:val="514" w:hRule="atLeast"/>
        </w:trPr>
        <w:tc>
          <w:tcPr>
            <w:tcW w:w="1132" w:type="dxa"/>
            <w:vMerge w:val="restart"/>
            <w:tcBorders>
              <w:top w:val="single" w:color="696969" w:sz="6" w:space="0"/>
              <w:left w:val="single" w:color="696969" w:sz="6" w:space="0"/>
              <w:bottom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第二中标候选人</w:t>
            </w: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报价部分</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9.96</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9.96</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9.96</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9.96</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9.96</w:t>
            </w:r>
          </w:p>
        </w:tc>
      </w:tr>
      <w:tr>
        <w:tblPrEx>
          <w:tblCellMar>
            <w:top w:w="0" w:type="dxa"/>
            <w:left w:w="0" w:type="dxa"/>
            <w:bottom w:w="0" w:type="dxa"/>
            <w:right w:w="0" w:type="dxa"/>
          </w:tblCellMar>
        </w:tblPrEx>
        <w:trPr>
          <w:trHeight w:val="498" w:hRule="atLeast"/>
        </w:trPr>
        <w:tc>
          <w:tcPr>
            <w:tcW w:w="1132" w:type="dxa"/>
            <w:vMerge w:val="continue"/>
            <w:tcBorders>
              <w:top w:val="single" w:color="696969" w:sz="6" w:space="0"/>
              <w:left w:val="single" w:color="696969" w:sz="6" w:space="0"/>
              <w:bottom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技术部分</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29.80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28.50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31.70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30.40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33.60</w:t>
            </w:r>
          </w:p>
        </w:tc>
      </w:tr>
      <w:tr>
        <w:tblPrEx>
          <w:tblCellMar>
            <w:top w:w="0" w:type="dxa"/>
            <w:left w:w="0" w:type="dxa"/>
            <w:bottom w:w="0" w:type="dxa"/>
            <w:right w:w="0" w:type="dxa"/>
          </w:tblCellMar>
        </w:tblPrEx>
        <w:trPr>
          <w:trHeight w:val="514" w:hRule="atLeast"/>
        </w:trPr>
        <w:tc>
          <w:tcPr>
            <w:tcW w:w="1132" w:type="dxa"/>
            <w:vMerge w:val="continue"/>
            <w:tcBorders>
              <w:top w:val="single" w:color="696969" w:sz="6" w:space="0"/>
              <w:left w:val="single" w:color="696969" w:sz="6" w:space="0"/>
              <w:bottom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综合部分</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55.00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55.00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55.00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55.00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55.00</w:t>
            </w:r>
          </w:p>
        </w:tc>
      </w:tr>
      <w:tr>
        <w:tblPrEx>
          <w:tblCellMar>
            <w:top w:w="0" w:type="dxa"/>
            <w:left w:w="0" w:type="dxa"/>
            <w:bottom w:w="0" w:type="dxa"/>
            <w:right w:w="0" w:type="dxa"/>
          </w:tblCellMar>
        </w:tblPrEx>
        <w:trPr>
          <w:trHeight w:val="498" w:hRule="atLeast"/>
        </w:trPr>
        <w:tc>
          <w:tcPr>
            <w:tcW w:w="1132" w:type="dxa"/>
            <w:vMerge w:val="continue"/>
            <w:tcBorders>
              <w:top w:val="single" w:color="696969" w:sz="6" w:space="0"/>
              <w:left w:val="single" w:color="696969" w:sz="6" w:space="0"/>
              <w:bottom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汇总</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94.76</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93.46</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96.66</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95.36</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98.56</w:t>
            </w:r>
          </w:p>
        </w:tc>
      </w:tr>
      <w:tr>
        <w:tblPrEx>
          <w:tblCellMar>
            <w:top w:w="0" w:type="dxa"/>
            <w:left w:w="0" w:type="dxa"/>
            <w:bottom w:w="0" w:type="dxa"/>
            <w:right w:w="0" w:type="dxa"/>
          </w:tblCellMar>
        </w:tblPrEx>
        <w:trPr>
          <w:trHeight w:val="498" w:hRule="atLeast"/>
        </w:trPr>
        <w:tc>
          <w:tcPr>
            <w:tcW w:w="1132" w:type="dxa"/>
            <w:vMerge w:val="restart"/>
            <w:tcBorders>
              <w:top w:val="single" w:color="696969" w:sz="6" w:space="0"/>
              <w:left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第三中标候选人</w:t>
            </w: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报价部分</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9.95</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9.95</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9.95</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9.95</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9.95</w:t>
            </w:r>
          </w:p>
        </w:tc>
      </w:tr>
      <w:tr>
        <w:tblPrEx>
          <w:tblCellMar>
            <w:top w:w="0" w:type="dxa"/>
            <w:left w:w="0" w:type="dxa"/>
            <w:bottom w:w="0" w:type="dxa"/>
            <w:right w:w="0" w:type="dxa"/>
          </w:tblCellMar>
        </w:tblPrEx>
        <w:trPr>
          <w:trHeight w:val="498" w:hRule="atLeast"/>
        </w:trPr>
        <w:tc>
          <w:tcPr>
            <w:tcW w:w="1132" w:type="dxa"/>
            <w:vMerge w:val="continue"/>
            <w:tcBorders>
              <w:left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技术部分</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27.30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25.50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30.00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26.90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32.80</w:t>
            </w:r>
          </w:p>
        </w:tc>
      </w:tr>
      <w:tr>
        <w:tblPrEx>
          <w:tblCellMar>
            <w:top w:w="0" w:type="dxa"/>
            <w:left w:w="0" w:type="dxa"/>
            <w:bottom w:w="0" w:type="dxa"/>
            <w:right w:w="0" w:type="dxa"/>
          </w:tblCellMar>
        </w:tblPrEx>
        <w:trPr>
          <w:trHeight w:val="498" w:hRule="atLeast"/>
        </w:trPr>
        <w:tc>
          <w:tcPr>
            <w:tcW w:w="1132" w:type="dxa"/>
            <w:vMerge w:val="continue"/>
            <w:tcBorders>
              <w:left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综合部分</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45.00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45.00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45.00</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45.00</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45.00</w:t>
            </w:r>
          </w:p>
        </w:tc>
      </w:tr>
      <w:tr>
        <w:tblPrEx>
          <w:tblCellMar>
            <w:top w:w="0" w:type="dxa"/>
            <w:left w:w="0" w:type="dxa"/>
            <w:bottom w:w="0" w:type="dxa"/>
            <w:right w:w="0" w:type="dxa"/>
          </w:tblCellMar>
        </w:tblPrEx>
        <w:trPr>
          <w:trHeight w:val="498" w:hRule="atLeast"/>
        </w:trPr>
        <w:tc>
          <w:tcPr>
            <w:tcW w:w="1132" w:type="dxa"/>
            <w:vMerge w:val="continue"/>
            <w:tcBorders>
              <w:left w:val="single" w:color="696969" w:sz="6" w:space="0"/>
              <w:bottom w:val="single" w:color="696969" w:sz="6" w:space="0"/>
              <w:right w:val="single" w:color="696969" w:sz="6" w:space="0"/>
            </w:tcBorders>
            <w:shd w:val="clear" w:color="auto" w:fill="FFFFFF"/>
            <w:vAlign w:val="center"/>
          </w:tcPr>
          <w:p>
            <w:pPr>
              <w:jc w:val="center"/>
              <w:rPr>
                <w:rFonts w:ascii="宋体" w:hAnsi="宋体" w:eastAsia="宋体" w:cs="宋体"/>
                <w:color w:val="333333"/>
                <w:kern w:val="0"/>
                <w:szCs w:val="21"/>
              </w:rPr>
            </w:pPr>
          </w:p>
        </w:tc>
        <w:tc>
          <w:tcPr>
            <w:tcW w:w="1556"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汇总</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82.25</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80.45</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84.95</w:t>
            </w:r>
          </w:p>
        </w:tc>
        <w:tc>
          <w:tcPr>
            <w:tcW w:w="1321"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81.85</w:t>
            </w:r>
          </w:p>
        </w:tc>
        <w:tc>
          <w:tcPr>
            <w:tcW w:w="1323" w:type="dxa"/>
            <w:tcBorders>
              <w:top w:val="single" w:color="696969" w:sz="6" w:space="0"/>
              <w:left w:val="single" w:color="696969" w:sz="6" w:space="0"/>
              <w:bottom w:val="single" w:color="696969" w:sz="6" w:space="0"/>
              <w:right w:val="single" w:color="696969" w:sz="6" w:space="0"/>
            </w:tcBorders>
            <w:shd w:val="clear" w:color="auto" w:fill="FFFFFF"/>
            <w:noWrap/>
            <w:vAlign w:val="center"/>
          </w:tcPr>
          <w:p>
            <w:pPr>
              <w:wordWrap w:val="0"/>
              <w:jc w:val="center"/>
              <w:rPr>
                <w:rFonts w:ascii="宋体" w:hAnsi="宋体" w:eastAsia="宋体" w:cs="宋体"/>
                <w:color w:val="333333"/>
                <w:kern w:val="0"/>
                <w:szCs w:val="21"/>
              </w:rPr>
            </w:pPr>
            <w:r>
              <w:rPr>
                <w:rFonts w:hint="eastAsia" w:ascii="宋体" w:hAnsi="宋体" w:eastAsia="宋体" w:cs="宋体"/>
                <w:color w:val="333333"/>
                <w:kern w:val="0"/>
                <w:szCs w:val="21"/>
              </w:rPr>
              <w:t>87.75</w:t>
            </w:r>
          </w:p>
        </w:tc>
      </w:tr>
      <w:bookmarkEnd w:id="0"/>
    </w:tbl>
    <w:p>
      <w:pPr>
        <w:widowControl/>
        <w:wordWrap w:val="0"/>
        <w:spacing w:line="600" w:lineRule="atLeast"/>
        <w:jc w:val="left"/>
        <w:rPr>
          <w:rFonts w:hint="eastAsia" w:ascii="宋体" w:hAnsi="宋体" w:eastAsia="宋体" w:cs="宋体"/>
          <w:color w:val="333333"/>
          <w:kern w:val="0"/>
          <w:sz w:val="32"/>
          <w:szCs w:val="32"/>
        </w:rPr>
      </w:pPr>
    </w:p>
    <w:p>
      <w:pPr>
        <w:widowControl/>
        <w:wordWrap w:val="0"/>
        <w:spacing w:line="600" w:lineRule="atLeast"/>
        <w:jc w:val="left"/>
        <w:rPr>
          <w:rFonts w:ascii="宋体" w:hAnsi="宋体" w:eastAsia="宋体" w:cs="宋体"/>
          <w:color w:val="333333"/>
          <w:kern w:val="0"/>
          <w:sz w:val="32"/>
          <w:szCs w:val="32"/>
        </w:rPr>
      </w:pPr>
      <w:r>
        <w:rPr>
          <w:rFonts w:hint="eastAsia" w:ascii="宋体" w:hAnsi="宋体" w:eastAsia="宋体" w:cs="宋体"/>
          <w:color w:val="333333"/>
          <w:kern w:val="0"/>
          <w:sz w:val="32"/>
          <w:szCs w:val="32"/>
        </w:rPr>
        <w:t>三、中标候选人按照招标文件要求承诺的项目负责人情况</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第一中标候选人：</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项目负责人姓名：李金亭 </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执业资格证书名称及编号：JGJ1235287</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第二中标候选人：</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项目负责人姓名：徐艳军 </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执业资格证书名称及编号：JGJ0925089</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第三中标候选人：</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项目负责人姓名：范光明</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执业资格证书名称及编号：JGJ0925072</w:t>
      </w:r>
    </w:p>
    <w:p>
      <w:pPr>
        <w:widowControl/>
        <w:spacing w:line="480" w:lineRule="atLeast"/>
        <w:rPr>
          <w:rFonts w:ascii="宋体" w:hAnsi="宋体" w:eastAsia="宋体" w:cs="宋体"/>
          <w:color w:val="333333"/>
          <w:kern w:val="0"/>
          <w:sz w:val="32"/>
          <w:szCs w:val="32"/>
        </w:rPr>
      </w:pPr>
      <w:r>
        <w:rPr>
          <w:rFonts w:hint="eastAsia" w:ascii="宋体" w:hAnsi="宋体" w:eastAsia="宋体" w:cs="宋体"/>
          <w:color w:val="333333"/>
          <w:kern w:val="0"/>
          <w:sz w:val="32"/>
          <w:szCs w:val="32"/>
        </w:rPr>
        <w:t>四、中标候选人响应招标文件要求的资格能力条件</w:t>
      </w:r>
    </w:p>
    <w:p>
      <w:pPr>
        <w:widowControl/>
        <w:wordWrap w:val="0"/>
        <w:spacing w:line="480" w:lineRule="atLeast"/>
        <w:ind w:firstLine="160" w:firstLineChars="50"/>
        <w:rPr>
          <w:rFonts w:ascii="宋体" w:hAnsi="宋体" w:eastAsia="宋体" w:cs="宋体"/>
          <w:color w:val="333333"/>
          <w:kern w:val="0"/>
          <w:sz w:val="32"/>
          <w:szCs w:val="32"/>
        </w:rPr>
      </w:pPr>
      <w:r>
        <w:rPr>
          <w:rFonts w:hint="eastAsia" w:ascii="宋体" w:hAnsi="宋体" w:eastAsia="宋体" w:cs="宋体"/>
          <w:color w:val="333333"/>
          <w:kern w:val="0"/>
          <w:sz w:val="32"/>
          <w:szCs w:val="32"/>
        </w:rPr>
        <w:t>第一中标候选人：公路工程甲级</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第二中标候选人：公路工程甲级</w:t>
      </w:r>
    </w:p>
    <w:p>
      <w:pPr>
        <w:widowControl/>
        <w:wordWrap w:val="0"/>
        <w:spacing w:line="480" w:lineRule="atLeast"/>
        <w:ind w:firstLine="160" w:firstLineChars="5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第三中标候选人：公路工程甲级</w:t>
      </w:r>
    </w:p>
    <w:p>
      <w:pPr>
        <w:widowControl/>
        <w:spacing w:line="480" w:lineRule="atLeast"/>
        <w:rPr>
          <w:rFonts w:ascii="宋体" w:hAnsi="宋体" w:eastAsia="宋体" w:cs="宋体"/>
          <w:color w:val="333333"/>
          <w:kern w:val="0"/>
          <w:sz w:val="32"/>
          <w:szCs w:val="32"/>
        </w:rPr>
      </w:pPr>
      <w:r>
        <w:rPr>
          <w:rFonts w:hint="eastAsia" w:ascii="宋体" w:hAnsi="宋体" w:eastAsia="宋体" w:cs="宋体"/>
          <w:color w:val="333333"/>
          <w:kern w:val="0"/>
          <w:sz w:val="32"/>
          <w:szCs w:val="32"/>
        </w:rPr>
        <w:t>五、提出异议的渠道和方式</w:t>
      </w:r>
    </w:p>
    <w:p>
      <w:pPr>
        <w:widowControl/>
        <w:wordWrap w:val="0"/>
        <w:spacing w:line="480" w:lineRule="atLeast"/>
        <w:jc w:val="left"/>
        <w:rPr>
          <w:rFonts w:ascii="宋体" w:hAnsi="宋体" w:eastAsia="宋体" w:cs="宋体"/>
          <w:color w:val="333333"/>
          <w:kern w:val="0"/>
          <w:sz w:val="32"/>
          <w:szCs w:val="32"/>
        </w:rPr>
      </w:pPr>
      <w:r>
        <w:rPr>
          <w:rFonts w:hint="eastAsia" w:ascii="宋体" w:hAnsi="宋体" w:eastAsia="宋体" w:cs="宋体"/>
          <w:color w:val="333333"/>
          <w:kern w:val="0"/>
          <w:sz w:val="32"/>
          <w:szCs w:val="32"/>
        </w:rPr>
        <w:t>  投标人或者其他利害关系人对本结果有异议的，在公示期内以书面形式向招标人或招标代理机构提交异议函(法定代表人签字并加盖单位公章)，委托他人提出异议的，需一并提交授权委托书和授权委托人身份证明，邮寄件、传真件不予受理。逾期未提交或未按照要求提交的异议函将不予受理。</w:t>
      </w:r>
    </w:p>
    <w:p>
      <w:pPr>
        <w:widowControl/>
        <w:spacing w:line="480" w:lineRule="atLeast"/>
        <w:rPr>
          <w:rFonts w:ascii="宋体" w:hAnsi="宋体" w:eastAsia="宋体" w:cs="宋体"/>
          <w:color w:val="333333"/>
          <w:kern w:val="0"/>
          <w:sz w:val="32"/>
          <w:szCs w:val="32"/>
        </w:rPr>
      </w:pPr>
      <w:r>
        <w:rPr>
          <w:rFonts w:hint="eastAsia" w:ascii="宋体" w:hAnsi="宋体" w:eastAsia="宋体" w:cs="宋体"/>
          <w:color w:val="333333"/>
          <w:kern w:val="0"/>
          <w:sz w:val="32"/>
          <w:szCs w:val="32"/>
        </w:rPr>
        <w:t>六、监督部门</w:t>
      </w:r>
    </w:p>
    <w:p>
      <w:pPr>
        <w:widowControl/>
        <w:spacing w:line="480" w:lineRule="atLeast"/>
        <w:ind w:firstLine="480" w:firstLineChars="150"/>
        <w:rPr>
          <w:rFonts w:ascii="宋体" w:hAnsi="宋体" w:eastAsia="宋体" w:cs="宋体"/>
          <w:color w:val="333333"/>
          <w:kern w:val="0"/>
          <w:sz w:val="32"/>
          <w:szCs w:val="32"/>
        </w:rPr>
      </w:pPr>
      <w:r>
        <w:rPr>
          <w:rFonts w:hint="eastAsia" w:ascii="宋体" w:hAnsi="宋体" w:eastAsia="宋体" w:cs="宋体"/>
          <w:color w:val="333333"/>
          <w:kern w:val="0"/>
          <w:sz w:val="32"/>
          <w:szCs w:val="32"/>
        </w:rPr>
        <w:t>本招标项目的监督部门为洛阳市交通运输局监管部门</w:t>
      </w:r>
    </w:p>
    <w:p>
      <w:pPr>
        <w:widowControl/>
        <w:spacing w:line="480" w:lineRule="atLeast"/>
        <w:rPr>
          <w:rFonts w:ascii="宋体" w:hAnsi="宋体" w:eastAsia="宋体" w:cs="宋体"/>
          <w:color w:val="333333"/>
          <w:kern w:val="0"/>
          <w:sz w:val="32"/>
          <w:szCs w:val="32"/>
        </w:rPr>
      </w:pPr>
      <w:r>
        <w:rPr>
          <w:rFonts w:hint="eastAsia" w:ascii="宋体" w:hAnsi="宋体" w:eastAsia="宋体" w:cs="宋体"/>
          <w:color w:val="333333"/>
          <w:kern w:val="0"/>
          <w:sz w:val="32"/>
          <w:szCs w:val="32"/>
        </w:rPr>
        <w:t>七、公示期</w:t>
      </w:r>
    </w:p>
    <w:p>
      <w:pPr>
        <w:widowControl/>
        <w:spacing w:line="480" w:lineRule="atLeast"/>
        <w:ind w:firstLine="480" w:firstLineChars="150"/>
        <w:rPr>
          <w:rFonts w:ascii="宋体" w:hAnsi="宋体" w:eastAsia="宋体" w:cs="宋体"/>
          <w:color w:val="333333"/>
          <w:kern w:val="0"/>
          <w:sz w:val="32"/>
          <w:szCs w:val="32"/>
        </w:rPr>
      </w:pPr>
      <w:r>
        <w:rPr>
          <w:rFonts w:hint="eastAsia" w:ascii="宋体" w:hAnsi="宋体" w:eastAsia="宋体" w:cs="宋体"/>
          <w:color w:val="333333"/>
          <w:kern w:val="0"/>
          <w:sz w:val="32"/>
          <w:szCs w:val="32"/>
        </w:rPr>
        <w:t>2020年10月20日至2020年10月22日</w:t>
      </w:r>
    </w:p>
    <w:p>
      <w:pPr>
        <w:widowControl/>
        <w:spacing w:line="480" w:lineRule="atLeast"/>
        <w:rPr>
          <w:rFonts w:ascii="宋体" w:hAnsi="宋体" w:eastAsia="宋体" w:cs="宋体"/>
          <w:color w:val="333333"/>
          <w:kern w:val="0"/>
          <w:sz w:val="32"/>
          <w:szCs w:val="32"/>
        </w:rPr>
      </w:pPr>
      <w:r>
        <w:rPr>
          <w:rFonts w:hint="eastAsia" w:ascii="宋体" w:hAnsi="宋体" w:eastAsia="宋体" w:cs="宋体"/>
          <w:color w:val="333333"/>
          <w:kern w:val="0"/>
          <w:sz w:val="32"/>
          <w:szCs w:val="32"/>
        </w:rPr>
        <w:t>八、联系方式</w:t>
      </w:r>
    </w:p>
    <w:p>
      <w:pPr>
        <w:widowControl/>
        <w:wordWrap w:val="0"/>
        <w:spacing w:line="480" w:lineRule="atLeast"/>
        <w:ind w:firstLine="320" w:firstLineChars="100"/>
        <w:rPr>
          <w:rFonts w:ascii="宋体" w:hAnsi="宋体" w:eastAsia="宋体" w:cs="宋体"/>
          <w:color w:val="333333"/>
          <w:kern w:val="0"/>
          <w:sz w:val="32"/>
          <w:szCs w:val="32"/>
        </w:rPr>
      </w:pPr>
      <w:r>
        <w:rPr>
          <w:rFonts w:hint="eastAsia" w:ascii="宋体" w:hAnsi="宋体" w:eastAsia="宋体" w:cs="宋体"/>
          <w:color w:val="333333"/>
          <w:kern w:val="0"/>
          <w:sz w:val="32"/>
          <w:szCs w:val="32"/>
        </w:rPr>
        <w:t>招标人：洛阳市公路事业发展中心</w:t>
      </w:r>
    </w:p>
    <w:p>
      <w:pPr>
        <w:widowControl/>
        <w:wordWrap w:val="0"/>
        <w:spacing w:line="480" w:lineRule="atLeast"/>
        <w:rPr>
          <w:rFonts w:hint="eastAsia" w:ascii="微软雅黑" w:hAnsi="微软雅黑" w:eastAsia="微软雅黑"/>
          <w:color w:val="333333"/>
          <w:szCs w:val="21"/>
        </w:rPr>
      </w:pPr>
      <w:r>
        <w:rPr>
          <w:rFonts w:hint="eastAsia" w:ascii="宋体" w:hAnsi="宋体" w:eastAsia="宋体" w:cs="宋体"/>
          <w:color w:val="333333"/>
          <w:kern w:val="0"/>
          <w:sz w:val="32"/>
          <w:szCs w:val="32"/>
        </w:rPr>
        <w:t> 联系人及电话：段先生0379-63251289</w:t>
      </w:r>
    </w:p>
    <w:p>
      <w:pPr>
        <w:widowControl/>
        <w:wordWrap w:val="0"/>
        <w:spacing w:line="480" w:lineRule="atLeast"/>
        <w:rPr>
          <w:rFonts w:ascii="宋体" w:hAnsi="宋体" w:eastAsia="宋体" w:cs="宋体"/>
          <w:color w:val="333333"/>
          <w:kern w:val="0"/>
          <w:sz w:val="32"/>
          <w:szCs w:val="32"/>
        </w:rPr>
      </w:pPr>
      <w:r>
        <w:rPr>
          <w:rFonts w:hint="eastAsia" w:ascii="宋体" w:hAnsi="宋体" w:eastAsia="宋体" w:cs="宋体"/>
          <w:color w:val="333333"/>
          <w:kern w:val="0"/>
          <w:sz w:val="32"/>
          <w:szCs w:val="32"/>
        </w:rPr>
        <w:t> 代理机构：河南城发工程管理有限公司</w:t>
      </w:r>
    </w:p>
    <w:p>
      <w:pPr>
        <w:widowControl/>
        <w:wordWrap w:val="0"/>
        <w:spacing w:line="480" w:lineRule="atLeast"/>
        <w:rPr>
          <w:rFonts w:ascii="宋体" w:hAnsi="宋体" w:eastAsia="宋体" w:cs="宋体"/>
          <w:color w:val="333333"/>
          <w:kern w:val="0"/>
          <w:sz w:val="32"/>
          <w:szCs w:val="32"/>
        </w:rPr>
      </w:pPr>
      <w:r>
        <w:rPr>
          <w:rFonts w:hint="eastAsia" w:ascii="宋体" w:hAnsi="宋体" w:eastAsia="宋体" w:cs="宋体"/>
          <w:color w:val="333333"/>
          <w:kern w:val="0"/>
          <w:sz w:val="32"/>
          <w:szCs w:val="32"/>
        </w:rPr>
        <w:t> 联系人及电话：梁先生0379-63333677</w:t>
      </w:r>
    </w:p>
    <w:p>
      <w:pPr>
        <w:pStyle w:val="4"/>
        <w:spacing w:before="0" w:beforeAutospacing="0" w:after="0" w:afterAutospacing="0" w:line="480" w:lineRule="atLeast"/>
        <w:jc w:val="both"/>
        <w:rPr>
          <w:color w:val="33333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2995"/>
    <w:multiLevelType w:val="multilevel"/>
    <w:tmpl w:val="1BD0299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BB"/>
    <w:rsid w:val="000761E7"/>
    <w:rsid w:val="001128CD"/>
    <w:rsid w:val="00165D64"/>
    <w:rsid w:val="001E125D"/>
    <w:rsid w:val="002E241D"/>
    <w:rsid w:val="0033296C"/>
    <w:rsid w:val="003E4B0C"/>
    <w:rsid w:val="00462326"/>
    <w:rsid w:val="005556DC"/>
    <w:rsid w:val="00562FC2"/>
    <w:rsid w:val="005C3E0F"/>
    <w:rsid w:val="0071296D"/>
    <w:rsid w:val="007809D9"/>
    <w:rsid w:val="0079301B"/>
    <w:rsid w:val="007D0857"/>
    <w:rsid w:val="007D0DD0"/>
    <w:rsid w:val="00840045"/>
    <w:rsid w:val="009B3AA6"/>
    <w:rsid w:val="00A6367B"/>
    <w:rsid w:val="00AA7B83"/>
    <w:rsid w:val="00B03DBB"/>
    <w:rsid w:val="00B52BCA"/>
    <w:rsid w:val="00B96A53"/>
    <w:rsid w:val="00BC48DD"/>
    <w:rsid w:val="00C95829"/>
    <w:rsid w:val="00CF7D4A"/>
    <w:rsid w:val="00E46227"/>
    <w:rsid w:val="00E71D3A"/>
    <w:rsid w:val="00FE78A6"/>
    <w:rsid w:val="1367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character" w:customStyle="1" w:styleId="10">
    <w:name w:val="*正文 Char Char"/>
    <w:link w:val="11"/>
    <w:locked/>
    <w:uiPriority w:val="0"/>
    <w:rPr>
      <w:rFonts w:ascii="微软雅黑" w:hAnsi="微软雅黑" w:eastAsia="微软雅黑"/>
    </w:rPr>
  </w:style>
  <w:style w:type="paragraph" w:customStyle="1" w:styleId="11">
    <w:name w:val="*正文"/>
    <w:basedOn w:val="1"/>
    <w:next w:val="1"/>
    <w:link w:val="10"/>
    <w:qFormat/>
    <w:uiPriority w:val="0"/>
    <w:pPr>
      <w:widowControl/>
      <w:ind w:firstLine="482"/>
    </w:pPr>
    <w:rPr>
      <w:rFonts w:ascii="微软雅黑" w:hAnsi="微软雅黑" w:eastAsia="微软雅黑"/>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217</Words>
  <Characters>1240</Characters>
  <Lines>10</Lines>
  <Paragraphs>2</Paragraphs>
  <TotalTime>91</TotalTime>
  <ScaleCrop>false</ScaleCrop>
  <LinksUpToDate>false</LinksUpToDate>
  <CharactersWithSpaces>1455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2020-04-03T09:04:00Z</dcterms:created>
  <dc:creator>Administrator</dc:creator>
  <cp:lastModifiedBy>河南城发工程管理有限公司</cp:lastModifiedBy>
  <dcterms:modified xsi:type="dcterms:W3CDTF">2020-10-19T09:36:49Z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