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00" w:lineRule="exact"/>
        <w:jc w:val="center"/>
        <w:rPr>
          <w:rFonts w:ascii="仿宋" w:hAnsi="仿宋" w:eastAsia="仿宋" w:cs="仿宋"/>
          <w:b/>
          <w:sz w:val="32"/>
          <w:szCs w:val="32"/>
        </w:rPr>
      </w:pPr>
      <w:r>
        <w:rPr>
          <w:rFonts w:hint="eastAsia" w:ascii="仿宋" w:hAnsi="仿宋" w:eastAsia="仿宋" w:cs="仿宋"/>
          <w:b/>
          <w:sz w:val="32"/>
          <w:szCs w:val="32"/>
        </w:rPr>
        <w:t>洛阳市公路管理局城郊分局</w:t>
      </w:r>
    </w:p>
    <w:p>
      <w:pPr>
        <w:spacing w:before="156" w:beforeLines="50" w:after="156" w:afterLines="50" w:line="500" w:lineRule="exact"/>
        <w:jc w:val="center"/>
        <w:rPr>
          <w:rFonts w:asciiTheme="majorEastAsia" w:hAnsiTheme="majorEastAsia" w:eastAsiaTheme="majorEastAsia"/>
          <w:b/>
          <w:sz w:val="32"/>
          <w:szCs w:val="32"/>
        </w:rPr>
      </w:pPr>
      <w:r>
        <w:rPr>
          <w:rFonts w:hint="eastAsia" w:ascii="仿宋" w:hAnsi="仿宋" w:eastAsia="仿宋" w:cs="仿宋"/>
          <w:b/>
          <w:sz w:val="32"/>
          <w:szCs w:val="32"/>
        </w:rPr>
        <w:t>关于往来款项长期挂账的清理审计询价公告</w:t>
      </w:r>
    </w:p>
    <w:p>
      <w:pPr>
        <w:spacing w:before="156" w:beforeLines="50" w:after="156" w:afterLines="50" w:line="50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依据相关规定，洛阳市公路管理局城郊分局拟对往来款项长期挂账的清理审计进行询价，欢迎符合条件的单位前来参加。现将有关事宜公告如下：</w:t>
      </w:r>
    </w:p>
    <w:p>
      <w:pPr>
        <w:pStyle w:val="15"/>
        <w:numPr>
          <w:ilvl w:val="0"/>
          <w:numId w:val="2"/>
        </w:numPr>
        <w:spacing w:before="0" w:beforeAutospacing="0" w:after="0" w:afterAutospacing="0" w:line="360" w:lineRule="auto"/>
        <w:rPr>
          <w:rFonts w:ascii="仿宋" w:hAnsi="仿宋" w:eastAsia="仿宋"/>
          <w:sz w:val="28"/>
          <w:szCs w:val="28"/>
        </w:rPr>
      </w:pPr>
      <w:r>
        <w:rPr>
          <w:rFonts w:hint="eastAsia" w:ascii="仿宋" w:hAnsi="仿宋" w:eastAsia="仿宋"/>
          <w:sz w:val="28"/>
          <w:szCs w:val="28"/>
        </w:rPr>
        <w:t>询价采购项目概况</w:t>
      </w:r>
    </w:p>
    <w:p>
      <w:pPr>
        <w:pStyle w:val="6"/>
        <w:spacing w:line="540" w:lineRule="exact"/>
        <w:ind w:firstLine="560"/>
        <w:rPr>
          <w:rFonts w:ascii="仿宋" w:hAnsi="仿宋" w:eastAsia="仿宋" w:cs="宋体"/>
          <w:kern w:val="0"/>
          <w:sz w:val="28"/>
          <w:szCs w:val="28"/>
        </w:rPr>
      </w:pPr>
      <w:r>
        <w:rPr>
          <w:rFonts w:hint="eastAsia" w:ascii="仿宋" w:hAnsi="仿宋" w:eastAsia="仿宋"/>
          <w:sz w:val="28"/>
          <w:szCs w:val="28"/>
        </w:rPr>
        <w:t>本项目为</w:t>
      </w:r>
      <w:r>
        <w:rPr>
          <w:rFonts w:hint="eastAsia" w:ascii="仿宋" w:hAnsi="仿宋" w:eastAsia="仿宋" w:cs="宋体"/>
          <w:kern w:val="0"/>
          <w:sz w:val="28"/>
          <w:szCs w:val="28"/>
        </w:rPr>
        <w:t>洛阳市公路管理局城郊分局</w:t>
      </w:r>
      <w:r>
        <w:rPr>
          <w:rFonts w:hint="eastAsia" w:ascii="仿宋" w:hAnsi="仿宋" w:eastAsia="仿宋"/>
          <w:sz w:val="28"/>
          <w:szCs w:val="28"/>
        </w:rPr>
        <w:t>拟对</w:t>
      </w:r>
      <w:r>
        <w:rPr>
          <w:rFonts w:hint="eastAsia" w:ascii="仿宋" w:hAnsi="仿宋" w:eastAsia="仿宋" w:cs="宋体"/>
          <w:kern w:val="0"/>
          <w:sz w:val="28"/>
          <w:szCs w:val="28"/>
        </w:rPr>
        <w:t>往来款项长期挂账的清理审计。需清理挂账包括工程长期不做竣工决算造成往来款项长期挂账余额约380万元，涉及21个项目；未及时清理核对造成单位长期挂账余额4920万元，涉及76个单位。</w:t>
      </w:r>
    </w:p>
    <w:p>
      <w:pPr>
        <w:ind w:firstLine="560" w:firstLineChars="200"/>
        <w:jc w:val="left"/>
        <w:rPr>
          <w:rFonts w:ascii="仿宋" w:hAnsi="仿宋" w:eastAsia="仿宋"/>
          <w:sz w:val="30"/>
          <w:szCs w:val="30"/>
        </w:rPr>
      </w:pPr>
      <w:r>
        <w:rPr>
          <w:rFonts w:hint="eastAsia" w:ascii="仿宋" w:hAnsi="仿宋" w:eastAsia="仿宋" w:cs="宋体"/>
          <w:kern w:val="0"/>
          <w:sz w:val="28"/>
          <w:szCs w:val="28"/>
        </w:rPr>
        <w:t>询价范围：需清理挂账项目的审计，</w:t>
      </w:r>
      <w:r>
        <w:rPr>
          <w:rFonts w:hint="eastAsia" w:ascii="仿宋" w:hAnsi="仿宋" w:eastAsia="仿宋"/>
          <w:sz w:val="30"/>
          <w:szCs w:val="30"/>
        </w:rPr>
        <w:t>具体项目以委托方实际委托内容为准。</w:t>
      </w:r>
    </w:p>
    <w:p>
      <w:pPr>
        <w:pStyle w:val="15"/>
        <w:spacing w:before="0" w:beforeAutospacing="0" w:after="0" w:afterAutospacing="0" w:line="360" w:lineRule="auto"/>
        <w:ind w:firstLine="560" w:firstLineChars="200"/>
        <w:rPr>
          <w:rFonts w:ascii="仿宋" w:hAnsi="仿宋" w:eastAsia="仿宋"/>
          <w:sz w:val="28"/>
          <w:szCs w:val="28"/>
        </w:rPr>
      </w:pPr>
      <w:r>
        <w:rPr>
          <w:rFonts w:hint="eastAsia" w:ascii="仿宋" w:hAnsi="仿宋" w:eastAsia="仿宋"/>
          <w:sz w:val="28"/>
          <w:szCs w:val="28"/>
        </w:rPr>
        <w:t>招标控制价：185000元。</w:t>
      </w:r>
    </w:p>
    <w:p>
      <w:pPr>
        <w:pStyle w:val="15"/>
        <w:spacing w:before="0" w:beforeAutospacing="0" w:after="0" w:afterAutospacing="0" w:line="360" w:lineRule="auto"/>
        <w:ind w:firstLine="560" w:firstLineChars="200"/>
        <w:rPr>
          <w:rFonts w:ascii="仿宋" w:hAnsi="仿宋" w:eastAsia="仿宋"/>
          <w:sz w:val="28"/>
          <w:szCs w:val="28"/>
        </w:rPr>
      </w:pPr>
      <w:r>
        <w:rPr>
          <w:rFonts w:hint="eastAsia" w:ascii="仿宋" w:hAnsi="仿宋" w:eastAsia="仿宋"/>
          <w:sz w:val="28"/>
          <w:szCs w:val="28"/>
        </w:rPr>
        <w:t>服务期：2020年</w:t>
      </w:r>
      <w:r>
        <w:rPr>
          <w:rFonts w:hint="eastAsia" w:ascii="仿宋" w:hAnsi="仿宋" w:eastAsia="仿宋"/>
          <w:sz w:val="28"/>
          <w:szCs w:val="28"/>
          <w:lang w:val="en-US" w:eastAsia="zh-CN"/>
        </w:rPr>
        <w:t>9</w:t>
      </w:r>
      <w:r>
        <w:rPr>
          <w:rFonts w:hint="eastAsia" w:ascii="仿宋" w:hAnsi="仿宋" w:eastAsia="仿宋"/>
          <w:sz w:val="28"/>
          <w:szCs w:val="28"/>
        </w:rPr>
        <w:t>月</w:t>
      </w:r>
      <w:r>
        <w:rPr>
          <w:rFonts w:hint="eastAsia" w:ascii="仿宋" w:hAnsi="仿宋" w:eastAsia="仿宋"/>
          <w:sz w:val="28"/>
          <w:szCs w:val="28"/>
          <w:lang w:val="en-US" w:eastAsia="zh-CN"/>
        </w:rPr>
        <w:t>30</w:t>
      </w:r>
      <w:r>
        <w:rPr>
          <w:rFonts w:hint="eastAsia" w:ascii="仿宋" w:hAnsi="仿宋" w:eastAsia="仿宋"/>
          <w:sz w:val="28"/>
          <w:szCs w:val="28"/>
        </w:rPr>
        <w:t>日出具审计报告。</w:t>
      </w:r>
    </w:p>
    <w:p>
      <w:pPr>
        <w:numPr>
          <w:ilvl w:val="0"/>
          <w:numId w:val="3"/>
        </w:num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报价人资格条件：</w:t>
      </w:r>
    </w:p>
    <w:p>
      <w:pPr>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1.投标人应具有法人资格，持有《营业执照》，经营范围应满足本项目需求；</w:t>
      </w:r>
    </w:p>
    <w:p>
      <w:pPr>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2.投标人应具有财政部门颁发的会计师事务所执业证书；</w:t>
      </w:r>
    </w:p>
    <w:p>
      <w:pPr>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3.投标人 2019年被省级注册会计师协会评价为 A 类会计师事务所；</w:t>
      </w:r>
    </w:p>
    <w:p>
      <w:pPr>
        <w:ind w:firstLine="560" w:firstLineChars="200"/>
        <w:jc w:val="left"/>
      </w:pPr>
      <w:r>
        <w:rPr>
          <w:rFonts w:hint="eastAsia" w:ascii="仿宋" w:hAnsi="仿宋" w:eastAsia="仿宋" w:cs="宋体"/>
          <w:kern w:val="0"/>
          <w:sz w:val="28"/>
          <w:szCs w:val="28"/>
        </w:rPr>
        <w:t>4.投标人具有注册会计师人数不少于20人；</w:t>
      </w:r>
    </w:p>
    <w:p>
      <w:pPr>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5.投标人拟派项目负责人须具有财政部门颁发的注册会计师证书、高级职称，与本单位签订劳动合同，并提供在本单位近六个月（2019年11月至2020年4月）中本单位为其连续缴纳三个月份的社保证明（以加盖社保中心印章的社保明细或加盖企业电子章的社保网页截图为准）；依法不需要缴纳社保的，应提供相应文件证明。</w:t>
      </w:r>
    </w:p>
    <w:p>
      <w:pPr>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6.根据《财政部关于在政府采购活动中查询及使用信用记录有关问题的通知》（财库〔2016〕125号）和《河南省财政厅关于转发财政部关于在政府采购活动中查询及使用信用记录有关问题的通知》（豫财库〔2016〕15号）被列入信用中国网站（http://www.creditchina.gov.cn/）“失信被执行人”的，中国政府采购网(http://www.ccgp.gov.cn/)“政府采购严重违法失信行为记录名单”的（指政府采购行政处罚有效期内），被列入中国执行信息公开网（http://zxgk.court.gov.cn/，也即全国法院失信被执行人名单信息公布与查询网）“失信被执行人”的、被列入国家税务总局网站（http://www.chinatax.gov.cn/）——“重大案件查询”栏目“重大税收违法案件信息公布栏”中有重大税收违法行为的投标人将被拒绝参加投标。（需提供查询网页打印件并加盖公章，查询日期须为公告发出之后）；</w:t>
      </w:r>
    </w:p>
    <w:p>
      <w:pPr>
        <w:ind w:firstLine="560" w:firstLineChars="200"/>
        <w:jc w:val="left"/>
        <w:rPr>
          <w:rFonts w:ascii="仿宋" w:hAnsi="仿宋" w:eastAsia="仿宋" w:cs="宋体"/>
          <w:kern w:val="0"/>
          <w:sz w:val="28"/>
          <w:szCs w:val="28"/>
          <w:highlight w:val="red"/>
        </w:rPr>
      </w:pPr>
      <w:r>
        <w:rPr>
          <w:rFonts w:hint="eastAsia" w:ascii="仿宋" w:hAnsi="仿宋" w:eastAsia="仿宋" w:cs="宋体"/>
          <w:kern w:val="0"/>
          <w:sz w:val="28"/>
          <w:szCs w:val="28"/>
        </w:rPr>
        <w:t xml:space="preserve">7.本项目实行资格后审。 </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三、报名时间</w:t>
      </w:r>
    </w:p>
    <w:p>
      <w:pPr>
        <w:pStyle w:val="15"/>
        <w:spacing w:before="0" w:beforeAutospacing="0" w:after="0" w:afterAutospacing="0" w:line="432" w:lineRule="auto"/>
        <w:rPr>
          <w:rFonts w:ascii="仿宋" w:hAnsi="仿宋" w:eastAsia="仿宋"/>
          <w:sz w:val="28"/>
          <w:szCs w:val="28"/>
        </w:rPr>
      </w:pPr>
      <w:r>
        <w:rPr>
          <w:rFonts w:hint="eastAsia" w:ascii="仿宋" w:hAnsi="仿宋" w:eastAsia="仿宋"/>
          <w:sz w:val="28"/>
          <w:szCs w:val="28"/>
        </w:rPr>
        <w:t xml:space="preserve">   凡有意参加询价者，请于2020 年6月22日至2020年6月24日</w:t>
      </w:r>
      <w:r>
        <w:rPr>
          <w:rFonts w:hint="eastAsia" w:ascii="仿宋" w:hAnsi="仿宋" w:eastAsia="仿宋" w:cs="宋体"/>
          <w:kern w:val="0"/>
          <w:sz w:val="28"/>
          <w:szCs w:val="28"/>
        </w:rPr>
        <w:t>下午</w:t>
      </w:r>
      <w:r>
        <w:rPr>
          <w:rFonts w:ascii="仿宋" w:hAnsi="仿宋" w:eastAsia="仿宋" w:cs="宋体"/>
          <w:kern w:val="0"/>
          <w:sz w:val="28"/>
          <w:szCs w:val="28"/>
        </w:rPr>
        <w:t>3</w:t>
      </w:r>
      <w:r>
        <w:rPr>
          <w:rFonts w:hint="eastAsia" w:ascii="仿宋" w:hAnsi="仿宋" w:eastAsia="仿宋" w:cs="宋体"/>
          <w:kern w:val="0"/>
          <w:sz w:val="28"/>
          <w:szCs w:val="28"/>
        </w:rPr>
        <w:t>:30</w:t>
      </w:r>
      <w:r>
        <w:rPr>
          <w:rFonts w:hint="eastAsia" w:ascii="仿宋" w:hAnsi="仿宋" w:eastAsia="仿宋"/>
          <w:sz w:val="28"/>
          <w:szCs w:val="28"/>
        </w:rPr>
        <w:t>，将报价人资格条件中要求的相关证明资料扫描件发送至</w:t>
      </w:r>
      <w:r>
        <w:rPr>
          <w:rFonts w:hint="eastAsia" w:ascii="仿宋" w:hAnsi="仿宋" w:eastAsia="仿宋"/>
          <w:sz w:val="28"/>
          <w:szCs w:val="28"/>
          <w:lang w:val="en-US" w:eastAsia="zh-CN"/>
        </w:rPr>
        <w:t>chengjiaogonglu@126.com</w:t>
      </w:r>
      <w:r>
        <w:rPr>
          <w:rFonts w:hint="eastAsia" w:ascii="仿宋" w:hAnsi="仿宋" w:eastAsia="仿宋"/>
          <w:sz w:val="28"/>
          <w:szCs w:val="28"/>
        </w:rPr>
        <w:t>进行报名。</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四、通过报名审核</w:t>
      </w:r>
      <w:r>
        <w:rPr>
          <w:rFonts w:ascii="仿宋" w:hAnsi="仿宋" w:eastAsia="仿宋" w:cs="宋体"/>
          <w:kern w:val="0"/>
          <w:sz w:val="28"/>
          <w:szCs w:val="28"/>
        </w:rPr>
        <w:t>的</w:t>
      </w:r>
      <w:r>
        <w:rPr>
          <w:rFonts w:hint="eastAsia" w:ascii="仿宋" w:hAnsi="仿宋" w:eastAsia="仿宋" w:cs="宋体"/>
          <w:kern w:val="0"/>
          <w:sz w:val="28"/>
          <w:szCs w:val="28"/>
        </w:rPr>
        <w:t>供应商</w:t>
      </w:r>
      <w:r>
        <w:rPr>
          <w:rFonts w:ascii="仿宋" w:hAnsi="仿宋" w:eastAsia="仿宋" w:cs="宋体"/>
          <w:kern w:val="0"/>
          <w:sz w:val="28"/>
          <w:szCs w:val="28"/>
        </w:rPr>
        <w:t>持</w:t>
      </w:r>
      <w:r>
        <w:rPr>
          <w:rFonts w:hint="eastAsia" w:ascii="仿宋" w:hAnsi="仿宋" w:eastAsia="仿宋"/>
          <w:sz w:val="28"/>
          <w:szCs w:val="28"/>
        </w:rPr>
        <w:t>法人营业执照</w:t>
      </w:r>
      <w:r>
        <w:rPr>
          <w:rFonts w:ascii="仿宋" w:hAnsi="仿宋" w:eastAsia="仿宋"/>
          <w:sz w:val="28"/>
          <w:szCs w:val="28"/>
        </w:rPr>
        <w:t>、</w:t>
      </w:r>
      <w:r>
        <w:rPr>
          <w:rFonts w:hint="eastAsia" w:ascii="仿宋" w:hAnsi="仿宋" w:eastAsia="仿宋"/>
          <w:sz w:val="28"/>
          <w:szCs w:val="28"/>
        </w:rPr>
        <w:t>税务登记</w:t>
      </w:r>
      <w:r>
        <w:rPr>
          <w:rFonts w:ascii="仿宋" w:hAnsi="仿宋" w:eastAsia="仿宋"/>
          <w:sz w:val="28"/>
          <w:szCs w:val="28"/>
        </w:rPr>
        <w:t>、组织机构代码证（</w:t>
      </w:r>
      <w:r>
        <w:rPr>
          <w:rFonts w:hint="eastAsia" w:ascii="仿宋" w:hAnsi="仿宋" w:eastAsia="仿宋"/>
          <w:sz w:val="28"/>
          <w:szCs w:val="28"/>
        </w:rPr>
        <w:t>或三证</w:t>
      </w:r>
      <w:r>
        <w:rPr>
          <w:rFonts w:ascii="仿宋" w:hAnsi="仿宋" w:eastAsia="仿宋"/>
          <w:sz w:val="28"/>
          <w:szCs w:val="28"/>
        </w:rPr>
        <w:t>合一）</w:t>
      </w:r>
      <w:r>
        <w:rPr>
          <w:rFonts w:hint="eastAsia" w:ascii="仿宋" w:hAnsi="仿宋" w:eastAsia="仿宋" w:cs="宋体"/>
          <w:kern w:val="0"/>
          <w:sz w:val="28"/>
          <w:szCs w:val="28"/>
        </w:rPr>
        <w:t>复印件（加盖</w:t>
      </w:r>
      <w:r>
        <w:rPr>
          <w:rFonts w:ascii="仿宋" w:hAnsi="仿宋" w:eastAsia="仿宋" w:cs="宋体"/>
          <w:kern w:val="0"/>
          <w:sz w:val="28"/>
          <w:szCs w:val="28"/>
        </w:rPr>
        <w:t>公章</w:t>
      </w:r>
      <w:r>
        <w:rPr>
          <w:rFonts w:hint="eastAsia" w:ascii="仿宋" w:hAnsi="仿宋" w:eastAsia="仿宋" w:cs="宋体"/>
          <w:kern w:val="0"/>
          <w:sz w:val="28"/>
          <w:szCs w:val="28"/>
        </w:rPr>
        <w:t>）</w:t>
      </w:r>
      <w:r>
        <w:rPr>
          <w:rFonts w:hint="eastAsia" w:ascii="仿宋" w:hAnsi="仿宋" w:eastAsia="仿宋"/>
          <w:sz w:val="28"/>
          <w:szCs w:val="28"/>
        </w:rPr>
        <w:t>、相关</w:t>
      </w:r>
      <w:r>
        <w:rPr>
          <w:rFonts w:hint="eastAsia" w:ascii="仿宋" w:hAnsi="仿宋" w:eastAsia="仿宋" w:cs="宋体"/>
          <w:kern w:val="0"/>
          <w:sz w:val="28"/>
          <w:szCs w:val="28"/>
        </w:rPr>
        <w:t>资质证明复印件（加盖</w:t>
      </w:r>
      <w:r>
        <w:rPr>
          <w:rFonts w:ascii="仿宋" w:hAnsi="仿宋" w:eastAsia="仿宋" w:cs="宋体"/>
          <w:kern w:val="0"/>
          <w:sz w:val="28"/>
          <w:szCs w:val="28"/>
        </w:rPr>
        <w:t>公章</w:t>
      </w:r>
      <w:r>
        <w:rPr>
          <w:rFonts w:hint="eastAsia" w:ascii="仿宋" w:hAnsi="仿宋" w:eastAsia="仿宋" w:cs="宋体"/>
          <w:kern w:val="0"/>
          <w:sz w:val="28"/>
          <w:szCs w:val="28"/>
        </w:rPr>
        <w:t>）、授权委托书原件、经办人身份证复印件（加盖</w:t>
      </w:r>
      <w:r>
        <w:rPr>
          <w:rFonts w:ascii="仿宋" w:hAnsi="仿宋" w:eastAsia="仿宋" w:cs="宋体"/>
          <w:kern w:val="0"/>
          <w:sz w:val="28"/>
          <w:szCs w:val="28"/>
        </w:rPr>
        <w:t>公章</w:t>
      </w:r>
      <w:r>
        <w:rPr>
          <w:rFonts w:hint="eastAsia" w:ascii="仿宋" w:hAnsi="仿宋" w:eastAsia="仿宋" w:cs="宋体"/>
          <w:kern w:val="0"/>
          <w:sz w:val="28"/>
          <w:szCs w:val="28"/>
        </w:rPr>
        <w:t>）、报价表及其他</w:t>
      </w:r>
      <w:r>
        <w:rPr>
          <w:rFonts w:hint="eastAsia" w:ascii="仿宋" w:hAnsi="仿宋" w:eastAsia="仿宋"/>
          <w:sz w:val="28"/>
          <w:szCs w:val="28"/>
        </w:rPr>
        <w:t>报价人资格条件中要求的相关证明资料</w:t>
      </w:r>
      <w:r>
        <w:rPr>
          <w:rFonts w:hint="eastAsia" w:ascii="仿宋" w:hAnsi="仿宋" w:eastAsia="仿宋" w:cs="宋体"/>
          <w:kern w:val="0"/>
          <w:sz w:val="28"/>
          <w:szCs w:val="28"/>
        </w:rPr>
        <w:t>参与报价。</w:t>
      </w:r>
    </w:p>
    <w:p>
      <w:pPr>
        <w:pStyle w:val="2"/>
        <w:spacing w:line="360" w:lineRule="auto"/>
        <w:ind w:firstLine="548" w:firstLineChars="196"/>
        <w:jc w:val="left"/>
        <w:rPr>
          <w:rFonts w:ascii="仿宋" w:hAnsi="仿宋" w:eastAsia="仿宋" w:cs="宋体"/>
          <w:b/>
          <w:color w:val="FF0000"/>
          <w:kern w:val="0"/>
          <w:szCs w:val="28"/>
          <w:highlight w:val="yellow"/>
        </w:rPr>
      </w:pPr>
      <w:r>
        <w:rPr>
          <w:rFonts w:hint="eastAsia" w:ascii="仿宋" w:hAnsi="仿宋" w:eastAsia="仿宋" w:cs="宋体"/>
          <w:kern w:val="0"/>
          <w:szCs w:val="28"/>
        </w:rPr>
        <w:t>五、报价要求格式将在洛阳市公路事业发展中心网站（</w:t>
      </w:r>
      <w:r>
        <w:fldChar w:fldCharType="begin"/>
      </w:r>
      <w:r>
        <w:instrText xml:space="preserve"> HYPERLINK "http://www.luoyanggl.cn" </w:instrText>
      </w:r>
      <w:r>
        <w:fldChar w:fldCharType="separate"/>
      </w:r>
      <w:r>
        <w:rPr>
          <w:rFonts w:ascii="仿宋" w:hAnsi="仿宋" w:eastAsia="仿宋" w:cs="宋体"/>
          <w:kern w:val="0"/>
          <w:szCs w:val="28"/>
        </w:rPr>
        <w:t>www.luoyanggl.cn</w:t>
      </w:r>
      <w:r>
        <w:rPr>
          <w:rFonts w:ascii="仿宋" w:hAnsi="仿宋" w:eastAsia="仿宋" w:cs="宋体"/>
          <w:kern w:val="0"/>
          <w:szCs w:val="28"/>
        </w:rPr>
        <w:fldChar w:fldCharType="end"/>
      </w:r>
      <w:r>
        <w:rPr>
          <w:rFonts w:hint="eastAsia" w:ascii="仿宋" w:hAnsi="仿宋" w:eastAsia="仿宋" w:cs="宋体"/>
          <w:kern w:val="0"/>
          <w:szCs w:val="28"/>
        </w:rPr>
        <w:t>）政务公开栏上公布。</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六、报价截止时间和地点：2020年6月24日下午</w:t>
      </w:r>
      <w:r>
        <w:rPr>
          <w:rFonts w:hint="eastAsia" w:ascii="仿宋" w:hAnsi="仿宋" w:eastAsia="仿宋" w:cs="宋体"/>
          <w:kern w:val="0"/>
          <w:sz w:val="28"/>
          <w:szCs w:val="28"/>
          <w:lang w:val="en-US" w:eastAsia="zh-CN"/>
        </w:rPr>
        <w:t>4</w:t>
      </w:r>
      <w:r>
        <w:rPr>
          <w:rFonts w:hint="eastAsia" w:ascii="仿宋" w:hAnsi="仿宋" w:eastAsia="仿宋" w:cs="宋体"/>
          <w:kern w:val="0"/>
          <w:sz w:val="28"/>
          <w:szCs w:val="28"/>
        </w:rPr>
        <w:t>:</w:t>
      </w:r>
      <w:r>
        <w:rPr>
          <w:rFonts w:hint="eastAsia" w:ascii="仿宋" w:hAnsi="仿宋" w:eastAsia="仿宋" w:cs="宋体"/>
          <w:kern w:val="0"/>
          <w:sz w:val="28"/>
          <w:szCs w:val="28"/>
          <w:lang w:val="en-US" w:eastAsia="zh-CN"/>
        </w:rPr>
        <w:t>0</w:t>
      </w:r>
      <w:r>
        <w:rPr>
          <w:rFonts w:hint="eastAsia" w:ascii="仿宋" w:hAnsi="仿宋" w:eastAsia="仿宋" w:cs="宋体"/>
          <w:kern w:val="0"/>
          <w:sz w:val="28"/>
          <w:szCs w:val="28"/>
        </w:rPr>
        <w:t>0，洛</w:t>
      </w:r>
      <w:r>
        <w:rPr>
          <w:rFonts w:hint="eastAsia" w:ascii="仿宋" w:hAnsi="仿宋" w:eastAsia="仿宋" w:cs="宋体"/>
          <w:color w:val="000000"/>
          <w:kern w:val="0"/>
          <w:sz w:val="28"/>
          <w:szCs w:val="28"/>
        </w:rPr>
        <w:t>阳市公路管理局城郊分局四楼会议室（在规定时间内未报价者</w:t>
      </w:r>
      <w:r>
        <w:rPr>
          <w:rFonts w:hint="eastAsia" w:ascii="仿宋" w:hAnsi="仿宋" w:eastAsia="仿宋" w:cs="宋体"/>
          <w:kern w:val="0"/>
          <w:sz w:val="28"/>
          <w:szCs w:val="28"/>
        </w:rPr>
        <w:t>视为自动弃权）。</w:t>
      </w:r>
    </w:p>
    <w:p>
      <w:pPr>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七、询价方式：询价小组将对各供应商的营业执照、资格证书及报价等资料（一次报出不得更改的价格）进行审定。</w:t>
      </w:r>
    </w:p>
    <w:p>
      <w:pPr>
        <w:pStyle w:val="2"/>
        <w:spacing w:line="360" w:lineRule="auto"/>
        <w:ind w:firstLine="560" w:firstLineChars="200"/>
        <w:rPr>
          <w:rFonts w:ascii="仿宋" w:hAnsi="仿宋" w:eastAsia="仿宋" w:cs="宋体"/>
          <w:kern w:val="0"/>
          <w:szCs w:val="28"/>
        </w:rPr>
      </w:pPr>
      <w:r>
        <w:rPr>
          <w:rFonts w:hint="eastAsia" w:ascii="仿宋" w:hAnsi="仿宋" w:eastAsia="仿宋" w:cs="宋体"/>
          <w:kern w:val="0"/>
          <w:szCs w:val="28"/>
        </w:rPr>
        <w:t>八、</w:t>
      </w:r>
      <w:r>
        <w:rPr>
          <w:rFonts w:ascii="仿宋" w:hAnsi="仿宋" w:eastAsia="仿宋"/>
          <w:szCs w:val="28"/>
        </w:rPr>
        <w:t>评审方式：</w:t>
      </w:r>
      <w:r>
        <w:rPr>
          <w:rFonts w:hint="eastAsia" w:ascii="仿宋" w:hAnsi="仿宋" w:eastAsia="仿宋" w:cs="宋体"/>
          <w:kern w:val="0"/>
          <w:szCs w:val="28"/>
        </w:rPr>
        <w:t>各方面满足采购人要求的前提下，按照报价由低到高的顺序提出3名成交候选人。</w:t>
      </w:r>
    </w:p>
    <w:p>
      <w:pPr>
        <w:pStyle w:val="2"/>
        <w:spacing w:line="360" w:lineRule="auto"/>
        <w:ind w:firstLine="560" w:firstLineChars="200"/>
        <w:rPr>
          <w:rFonts w:ascii="仿宋" w:hAnsi="仿宋" w:eastAsia="仿宋" w:cs="宋体"/>
          <w:kern w:val="0"/>
          <w:szCs w:val="28"/>
        </w:rPr>
      </w:pPr>
      <w:r>
        <w:rPr>
          <w:rFonts w:hint="eastAsia" w:ascii="仿宋" w:hAnsi="仿宋" w:eastAsia="仿宋" w:cs="宋体"/>
          <w:kern w:val="0"/>
          <w:szCs w:val="28"/>
        </w:rPr>
        <w:t>九、出现下列情形之一的，采购人将终止询价采购活动，发布项目终止公告并说明原因，重新开展采购活动：</w:t>
      </w:r>
    </w:p>
    <w:p>
      <w:pPr>
        <w:pStyle w:val="2"/>
        <w:spacing w:line="360" w:lineRule="auto"/>
        <w:ind w:firstLine="560" w:firstLineChars="200"/>
        <w:rPr>
          <w:rFonts w:ascii="仿宋" w:hAnsi="仿宋" w:eastAsia="仿宋" w:cs="宋体"/>
          <w:kern w:val="0"/>
          <w:szCs w:val="28"/>
        </w:rPr>
      </w:pPr>
      <w:r>
        <w:rPr>
          <w:rFonts w:hint="eastAsia" w:ascii="仿宋" w:hAnsi="仿宋" w:eastAsia="仿宋" w:cs="宋体"/>
          <w:kern w:val="0"/>
          <w:szCs w:val="28"/>
        </w:rPr>
        <w:t>（一）因情况变化，不再符合规定的询价采购方式适用情形的；</w:t>
      </w:r>
    </w:p>
    <w:p>
      <w:pPr>
        <w:pStyle w:val="2"/>
        <w:spacing w:line="360" w:lineRule="auto"/>
        <w:ind w:firstLine="560" w:firstLineChars="200"/>
        <w:rPr>
          <w:rFonts w:ascii="仿宋" w:hAnsi="仿宋" w:eastAsia="仿宋" w:cs="宋体"/>
          <w:kern w:val="0"/>
          <w:szCs w:val="28"/>
        </w:rPr>
      </w:pPr>
      <w:r>
        <w:rPr>
          <w:rFonts w:hint="eastAsia" w:ascii="仿宋" w:hAnsi="仿宋" w:eastAsia="仿宋" w:cs="宋体"/>
          <w:kern w:val="0"/>
          <w:szCs w:val="28"/>
        </w:rPr>
        <w:t>（二）出现影响采购公正的违法、违规行为的；</w:t>
      </w:r>
    </w:p>
    <w:p>
      <w:pPr>
        <w:pStyle w:val="2"/>
        <w:spacing w:line="360" w:lineRule="auto"/>
        <w:ind w:firstLine="560" w:firstLineChars="200"/>
        <w:rPr>
          <w:rFonts w:ascii="仿宋" w:hAnsi="仿宋" w:eastAsia="仿宋" w:cs="宋体"/>
          <w:kern w:val="0"/>
          <w:szCs w:val="28"/>
        </w:rPr>
      </w:pPr>
      <w:r>
        <w:rPr>
          <w:rFonts w:hint="eastAsia" w:ascii="仿宋" w:hAnsi="仿宋" w:eastAsia="仿宋" w:cs="宋体"/>
          <w:kern w:val="0"/>
          <w:szCs w:val="28"/>
        </w:rPr>
        <w:t>（三）在采购过程中符合竞争要求的供应商或者报价未超过采购预算的供应商不足3家的。</w:t>
      </w:r>
    </w:p>
    <w:p>
      <w:pPr>
        <w:pStyle w:val="2"/>
        <w:spacing w:line="360" w:lineRule="auto"/>
        <w:ind w:firstLine="560" w:firstLineChars="200"/>
        <w:rPr>
          <w:rFonts w:ascii="仿宋" w:hAnsi="仿宋" w:eastAsia="仿宋" w:cs="宋体"/>
          <w:kern w:val="0"/>
          <w:szCs w:val="28"/>
        </w:rPr>
      </w:pPr>
      <w:r>
        <w:rPr>
          <w:rFonts w:hint="eastAsia" w:ascii="仿宋" w:hAnsi="仿宋" w:eastAsia="仿宋" w:cs="宋体"/>
          <w:kern w:val="0"/>
          <w:szCs w:val="28"/>
        </w:rPr>
        <w:t>十、在询价结果公示3日后，采购人将按照报价最低的原则确定成交供应商并签订合同协议书。</w:t>
      </w:r>
    </w:p>
    <w:p>
      <w:pPr>
        <w:pStyle w:val="2"/>
        <w:spacing w:line="360" w:lineRule="auto"/>
        <w:ind w:firstLine="560" w:firstLineChars="200"/>
        <w:rPr>
          <w:rFonts w:ascii="仿宋" w:hAnsi="仿宋" w:eastAsia="仿宋"/>
          <w:szCs w:val="28"/>
        </w:rPr>
      </w:pPr>
      <w:r>
        <w:rPr>
          <w:rFonts w:hint="eastAsia" w:ascii="仿宋" w:hAnsi="仿宋" w:eastAsia="仿宋"/>
          <w:szCs w:val="28"/>
        </w:rPr>
        <w:t>十一、注意事项</w:t>
      </w:r>
    </w:p>
    <w:p>
      <w:pPr>
        <w:pStyle w:val="2"/>
        <w:spacing w:line="360" w:lineRule="auto"/>
        <w:ind w:firstLine="560" w:firstLineChars="200"/>
        <w:rPr>
          <w:rFonts w:ascii="仿宋" w:hAnsi="仿宋" w:eastAsia="仿宋" w:cs="宋体"/>
          <w:kern w:val="0"/>
          <w:szCs w:val="28"/>
        </w:rPr>
      </w:pPr>
      <w:r>
        <w:rPr>
          <w:rFonts w:hint="eastAsia" w:ascii="仿宋" w:hAnsi="仿宋" w:eastAsia="仿宋" w:cs="宋体"/>
          <w:kern w:val="0"/>
          <w:szCs w:val="28"/>
        </w:rPr>
        <w:t>前来报价的供应商应在报价截止时间前至洛阳市公路管理局城郊分局四楼会议室签到以确认出席，逾期签到者视为自动放弃。</w:t>
      </w:r>
    </w:p>
    <w:p>
      <w:pPr>
        <w:pStyle w:val="2"/>
        <w:spacing w:line="360" w:lineRule="auto"/>
        <w:ind w:firstLine="560" w:firstLineChars="200"/>
        <w:rPr>
          <w:rFonts w:ascii="仿宋" w:hAnsi="仿宋" w:eastAsia="仿宋" w:cs="宋体"/>
          <w:kern w:val="0"/>
          <w:szCs w:val="28"/>
        </w:rPr>
      </w:pPr>
      <w:r>
        <w:rPr>
          <w:rFonts w:hint="eastAsia" w:ascii="仿宋" w:hAnsi="仿宋" w:eastAsia="仿宋" w:cs="宋体"/>
          <w:kern w:val="0"/>
          <w:szCs w:val="28"/>
        </w:rPr>
        <w:t>十二、采购人：洛阳市公路管理局城郊分局</w:t>
      </w:r>
    </w:p>
    <w:p>
      <w:pPr>
        <w:pStyle w:val="2"/>
        <w:spacing w:line="360" w:lineRule="auto"/>
        <w:ind w:firstLine="560" w:firstLineChars="200"/>
        <w:rPr>
          <w:rFonts w:hint="default" w:ascii="仿宋" w:hAnsi="仿宋" w:eastAsia="仿宋" w:cs="宋体"/>
          <w:kern w:val="0"/>
          <w:szCs w:val="28"/>
          <w:lang w:val="en-US" w:eastAsia="zh-CN"/>
        </w:rPr>
      </w:pPr>
      <w:r>
        <w:rPr>
          <w:rFonts w:hint="eastAsia" w:ascii="仿宋" w:hAnsi="仿宋" w:eastAsia="仿宋" w:cs="宋体"/>
          <w:kern w:val="0"/>
          <w:szCs w:val="28"/>
        </w:rPr>
        <w:t>联系人及电话：金女士0379-6</w:t>
      </w:r>
      <w:r>
        <w:rPr>
          <w:rFonts w:hint="eastAsia" w:ascii="仿宋" w:hAnsi="仿宋" w:eastAsia="仿宋" w:cs="宋体"/>
          <w:kern w:val="0"/>
          <w:szCs w:val="28"/>
          <w:lang w:val="en-US" w:eastAsia="zh-CN"/>
        </w:rPr>
        <w:t>9923002</w:t>
      </w:r>
    </w:p>
    <w:p>
      <w:pPr>
        <w:pStyle w:val="2"/>
        <w:spacing w:line="360" w:lineRule="auto"/>
        <w:ind w:firstLine="560" w:firstLineChars="200"/>
        <w:rPr>
          <w:rFonts w:ascii="仿宋" w:hAnsi="仿宋" w:eastAsia="仿宋" w:cs="宋体"/>
          <w:kern w:val="0"/>
          <w:szCs w:val="28"/>
        </w:rPr>
      </w:pPr>
      <w:r>
        <w:rPr>
          <w:rFonts w:hint="eastAsia" w:ascii="仿宋" w:hAnsi="仿宋" w:eastAsia="仿宋" w:cs="宋体"/>
          <w:kern w:val="0"/>
          <w:szCs w:val="28"/>
        </w:rPr>
        <w:t>十三、询价结果将统一在洛阳市公路事业发展中心网站（</w:t>
      </w:r>
      <w:r>
        <w:fldChar w:fldCharType="begin"/>
      </w:r>
      <w:r>
        <w:instrText xml:space="preserve"> HYPERLINK "http://www.luoyanggl.cn" </w:instrText>
      </w:r>
      <w:r>
        <w:fldChar w:fldCharType="separate"/>
      </w:r>
      <w:r>
        <w:rPr>
          <w:rFonts w:ascii="仿宋" w:hAnsi="仿宋" w:eastAsia="仿宋" w:cs="宋体"/>
          <w:kern w:val="0"/>
          <w:szCs w:val="28"/>
        </w:rPr>
        <w:t>www.luoyanggl.cn</w:t>
      </w:r>
      <w:r>
        <w:rPr>
          <w:rFonts w:ascii="仿宋" w:hAnsi="仿宋" w:eastAsia="仿宋" w:cs="宋体"/>
          <w:kern w:val="0"/>
          <w:szCs w:val="28"/>
        </w:rPr>
        <w:fldChar w:fldCharType="end"/>
      </w:r>
      <w:r>
        <w:rPr>
          <w:rFonts w:hint="eastAsia" w:ascii="仿宋" w:hAnsi="仿宋" w:eastAsia="仿宋" w:cs="宋体"/>
          <w:kern w:val="0"/>
          <w:szCs w:val="28"/>
        </w:rPr>
        <w:t>）政务公开栏上公布。</w:t>
      </w:r>
    </w:p>
    <w:p>
      <w:pPr>
        <w:spacing w:line="360" w:lineRule="auto"/>
        <w:jc w:val="right"/>
        <w:rPr>
          <w:rFonts w:ascii="仿宋" w:hAnsi="仿宋" w:eastAsia="仿宋"/>
          <w:sz w:val="28"/>
          <w:szCs w:val="28"/>
        </w:rPr>
      </w:pPr>
    </w:p>
    <w:p>
      <w:pPr>
        <w:spacing w:line="360" w:lineRule="auto"/>
        <w:jc w:val="right"/>
        <w:rPr>
          <w:rFonts w:ascii="仿宋" w:hAnsi="仿宋" w:eastAsia="仿宋"/>
          <w:sz w:val="28"/>
          <w:szCs w:val="28"/>
        </w:rPr>
      </w:pPr>
      <w:r>
        <w:rPr>
          <w:rFonts w:hint="eastAsia" w:ascii="仿宋" w:hAnsi="仿宋" w:eastAsia="仿宋"/>
          <w:sz w:val="28"/>
          <w:szCs w:val="28"/>
        </w:rPr>
        <w:t>2020年6月2</w:t>
      </w:r>
      <w:r>
        <w:rPr>
          <w:rFonts w:hint="eastAsia" w:ascii="仿宋" w:hAnsi="仿宋" w:eastAsia="仿宋"/>
          <w:sz w:val="28"/>
          <w:szCs w:val="28"/>
          <w:lang w:val="en-US" w:eastAsia="zh-CN"/>
        </w:rPr>
        <w:t>1</w:t>
      </w:r>
      <w:r>
        <w:rPr>
          <w:rFonts w:hint="eastAsia" w:ascii="仿宋" w:hAnsi="仿宋" w:eastAsia="仿宋"/>
          <w:sz w:val="28"/>
          <w:szCs w:val="28"/>
        </w:rPr>
        <w:t>日</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pStyle w:val="22"/>
        <w:rPr>
          <w:b/>
          <w:sz w:val="44"/>
          <w:szCs w:val="44"/>
        </w:rPr>
      </w:pPr>
    </w:p>
    <w:p>
      <w:pPr>
        <w:pStyle w:val="23"/>
      </w:pPr>
    </w:p>
    <w:p>
      <w:pPr>
        <w:jc w:val="center"/>
        <w:rPr>
          <w:b/>
          <w:sz w:val="44"/>
          <w:szCs w:val="44"/>
        </w:rPr>
      </w:pPr>
    </w:p>
    <w:p>
      <w:pPr>
        <w:autoSpaceDE w:val="0"/>
        <w:autoSpaceDN w:val="0"/>
        <w:adjustRightInd w:val="0"/>
        <w:spacing w:line="200" w:lineRule="exact"/>
        <w:jc w:val="left"/>
        <w:rPr>
          <w:rFonts w:ascii="仿宋_GB2312" w:hAnsi="宋体" w:eastAsia="仿宋_GB2312" w:cs="黑体"/>
          <w:kern w:val="0"/>
          <w:sz w:val="20"/>
          <w:szCs w:val="20"/>
        </w:rPr>
      </w:pPr>
    </w:p>
    <w:p>
      <w:pPr>
        <w:spacing w:line="500" w:lineRule="exact"/>
        <w:rPr>
          <w:rFonts w:ascii="宋体" w:hAnsi="宋体"/>
          <w:sz w:val="24"/>
        </w:rPr>
      </w:pPr>
    </w:p>
    <w:p>
      <w:pPr>
        <w:spacing w:after="312" w:afterLines="100" w:line="500" w:lineRule="exact"/>
        <w:jc w:val="center"/>
        <w:rPr>
          <w:rFonts w:ascii="宋体" w:hAnsi="宋体"/>
          <w:b/>
          <w:sz w:val="28"/>
          <w:szCs w:val="28"/>
        </w:rPr>
      </w:pPr>
    </w:p>
    <w:p>
      <w:pPr>
        <w:spacing w:after="312" w:afterLines="100" w:line="500" w:lineRule="exact"/>
        <w:jc w:val="center"/>
        <w:rPr>
          <w:rFonts w:ascii="宋体" w:hAnsi="宋体"/>
          <w:b/>
          <w:sz w:val="28"/>
          <w:szCs w:val="28"/>
        </w:rPr>
      </w:pPr>
    </w:p>
    <w:p>
      <w:pPr>
        <w:spacing w:after="312" w:afterLines="100" w:line="500" w:lineRule="exact"/>
        <w:jc w:val="center"/>
        <w:rPr>
          <w:rFonts w:ascii="宋体" w:hAnsi="宋体"/>
          <w:b/>
          <w:sz w:val="28"/>
          <w:szCs w:val="28"/>
        </w:rPr>
      </w:pPr>
      <w:r>
        <w:rPr>
          <w:rFonts w:hint="eastAsia" w:ascii="宋体" w:hAnsi="宋体"/>
          <w:b/>
          <w:sz w:val="28"/>
          <w:szCs w:val="28"/>
        </w:rPr>
        <w:t>一、投标报价表</w:t>
      </w:r>
    </w:p>
    <w:p>
      <w:pPr>
        <w:spacing w:line="500" w:lineRule="exact"/>
        <w:ind w:firstLine="562"/>
        <w:rPr>
          <w:rFonts w:ascii="宋体" w:hAnsi="宋体"/>
          <w:b/>
          <w:color w:val="000000"/>
          <w:szCs w:val="28"/>
        </w:rPr>
      </w:pPr>
      <w:r>
        <w:rPr>
          <w:rFonts w:hint="eastAsia" w:ascii="宋体" w:hAnsi="宋体"/>
          <w:b/>
          <w:color w:val="000000"/>
          <w:szCs w:val="28"/>
        </w:rPr>
        <w:t xml:space="preserve">                      </w:t>
      </w:r>
    </w:p>
    <w:tbl>
      <w:tblPr>
        <w:tblStyle w:val="17"/>
        <w:tblW w:w="8981" w:type="dxa"/>
        <w:tblInd w:w="-459"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742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33" w:hRule="atLeast"/>
        </w:trPr>
        <w:tc>
          <w:tcPr>
            <w:tcW w:w="1560" w:type="dxa"/>
            <w:vAlign w:val="center"/>
          </w:tcPr>
          <w:p>
            <w:pPr>
              <w:spacing w:line="5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项目名称</w:t>
            </w:r>
          </w:p>
        </w:tc>
        <w:tc>
          <w:tcPr>
            <w:tcW w:w="7421" w:type="dxa"/>
            <w:vAlign w:val="center"/>
          </w:tcPr>
          <w:p>
            <w:pPr>
              <w:autoSpaceDE w:val="0"/>
              <w:autoSpaceDN w:val="0"/>
              <w:adjustRightInd w:val="0"/>
              <w:spacing w:before="69" w:line="281" w:lineRule="auto"/>
              <w:ind w:right="149" w:firstLine="240" w:firstLineChars="1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洛阳市公路</w:t>
            </w:r>
            <w:r>
              <w:rPr>
                <w:rFonts w:hint="eastAsia" w:cs="宋体" w:asciiTheme="minorEastAsia" w:hAnsiTheme="minorEastAsia" w:eastAsiaTheme="minorEastAsia"/>
                <w:kern w:val="0"/>
                <w:sz w:val="24"/>
                <w:lang w:val="en-US" w:eastAsia="zh-CN"/>
              </w:rPr>
              <w:t>管理局城郊分局</w:t>
            </w:r>
            <w:bookmarkStart w:id="0" w:name="_GoBack"/>
            <w:bookmarkEnd w:id="0"/>
            <w:r>
              <w:rPr>
                <w:rFonts w:hint="eastAsia" w:cs="宋体" w:asciiTheme="minorEastAsia" w:hAnsiTheme="minorEastAsia" w:eastAsiaTheme="minorEastAsia"/>
                <w:kern w:val="0"/>
                <w:sz w:val="24"/>
              </w:rPr>
              <w:t>拟对往来款项长期挂账的清理审计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128" w:hRule="atLeast"/>
        </w:trPr>
        <w:tc>
          <w:tcPr>
            <w:tcW w:w="1560" w:type="dxa"/>
            <w:vAlign w:val="center"/>
          </w:tcPr>
          <w:p>
            <w:pPr>
              <w:spacing w:line="5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服务内容</w:t>
            </w:r>
          </w:p>
        </w:tc>
        <w:tc>
          <w:tcPr>
            <w:tcW w:w="7421" w:type="dxa"/>
            <w:vAlign w:val="center"/>
          </w:tcPr>
          <w:p>
            <w:pPr>
              <w:spacing w:line="500" w:lineRule="exact"/>
              <w:jc w:val="center"/>
              <w:rPr>
                <w:rFonts w:cs="宋体" w:asciiTheme="majorEastAsia" w:hAnsiTheme="majorEastAsia" w:eastAsiaTheme="majorEastAsia"/>
                <w:kern w:val="0"/>
                <w:sz w:val="24"/>
              </w:rPr>
            </w:pPr>
            <w:r>
              <w:rPr>
                <w:rFonts w:hint="eastAsia" w:cs="宋体" w:asciiTheme="minorEastAsia" w:hAnsiTheme="minorEastAsia" w:eastAsiaTheme="minorEastAsia"/>
                <w:kern w:val="0"/>
                <w:sz w:val="24"/>
              </w:rPr>
              <w:t>需清理挂账项目的审计，具体项目以委托方实际委托内容为准</w:t>
            </w:r>
            <w:r>
              <w:rPr>
                <w:rFonts w:hint="eastAsia" w:ascii="仿宋" w:hAnsi="仿宋" w:eastAsia="仿宋"/>
                <w:sz w:val="30"/>
                <w:szCs w:val="30"/>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13" w:hRule="atLeast"/>
        </w:trPr>
        <w:tc>
          <w:tcPr>
            <w:tcW w:w="1560" w:type="dxa"/>
            <w:vAlign w:val="center"/>
          </w:tcPr>
          <w:p>
            <w:pPr>
              <w:spacing w:line="5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投标报价</w:t>
            </w:r>
          </w:p>
          <w:p>
            <w:pPr>
              <w:spacing w:line="5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（万元）</w:t>
            </w:r>
          </w:p>
        </w:tc>
        <w:tc>
          <w:tcPr>
            <w:tcW w:w="7421" w:type="dxa"/>
            <w:vAlign w:val="center"/>
          </w:tcPr>
          <w:p>
            <w:pPr>
              <w:spacing w:line="500" w:lineRule="exact"/>
              <w:jc w:val="center"/>
              <w:rPr>
                <w:rFonts w:cs="宋体" w:asciiTheme="minorEastAsia" w:hAnsiTheme="minorEastAsia" w:eastAsiaTheme="minorEastAsia"/>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822" w:hRule="atLeast"/>
        </w:trPr>
        <w:tc>
          <w:tcPr>
            <w:tcW w:w="1560" w:type="dxa"/>
            <w:vAlign w:val="center"/>
          </w:tcPr>
          <w:p>
            <w:pPr>
              <w:spacing w:line="500" w:lineRule="exact"/>
              <w:jc w:val="center"/>
              <w:rPr>
                <w:rFonts w:cs="宋体" w:asciiTheme="minorEastAsia" w:hAnsiTheme="minorEastAsia" w:eastAsiaTheme="minorEastAsia"/>
                <w:kern w:val="0"/>
                <w:sz w:val="24"/>
              </w:rPr>
            </w:pPr>
          </w:p>
          <w:p>
            <w:pPr>
              <w:spacing w:line="500" w:lineRule="exact"/>
              <w:rPr>
                <w:rFonts w:cs="宋体" w:asciiTheme="minorEastAsia" w:hAnsiTheme="minorEastAsia" w:eastAsiaTheme="minorEastAsia"/>
                <w:kern w:val="0"/>
                <w:sz w:val="24"/>
              </w:rPr>
            </w:pPr>
          </w:p>
          <w:p>
            <w:pPr>
              <w:spacing w:line="500" w:lineRule="exact"/>
              <w:rPr>
                <w:rFonts w:cs="宋体" w:asciiTheme="minorEastAsia" w:hAnsiTheme="minorEastAsia" w:eastAsiaTheme="minorEastAsia"/>
                <w:kern w:val="0"/>
                <w:sz w:val="24"/>
              </w:rPr>
            </w:pPr>
          </w:p>
          <w:p>
            <w:pPr>
              <w:spacing w:line="5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其</w:t>
            </w:r>
          </w:p>
          <w:p>
            <w:pPr>
              <w:spacing w:line="5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它</w:t>
            </w:r>
          </w:p>
          <w:p>
            <w:pPr>
              <w:spacing w:line="500" w:lineRule="exact"/>
              <w:jc w:val="center"/>
              <w:rPr>
                <w:rFonts w:cs="宋体" w:asciiTheme="minorEastAsia" w:hAnsiTheme="minorEastAsia" w:eastAsiaTheme="minorEastAsia"/>
                <w:kern w:val="0"/>
                <w:sz w:val="24"/>
              </w:rPr>
            </w:pPr>
          </w:p>
          <w:p>
            <w:pPr>
              <w:spacing w:line="500" w:lineRule="exact"/>
              <w:jc w:val="center"/>
              <w:rPr>
                <w:rFonts w:cs="宋体" w:asciiTheme="minorEastAsia" w:hAnsiTheme="minorEastAsia" w:eastAsiaTheme="minorEastAsia"/>
                <w:kern w:val="0"/>
                <w:sz w:val="24"/>
              </w:rPr>
            </w:pPr>
          </w:p>
          <w:p>
            <w:pPr>
              <w:spacing w:line="500" w:lineRule="exact"/>
              <w:jc w:val="center"/>
              <w:rPr>
                <w:rFonts w:cs="宋体" w:asciiTheme="minorEastAsia" w:hAnsiTheme="minorEastAsia" w:eastAsiaTheme="minorEastAsia"/>
                <w:kern w:val="0"/>
                <w:sz w:val="24"/>
              </w:rPr>
            </w:pPr>
          </w:p>
          <w:p>
            <w:pPr>
              <w:spacing w:line="500" w:lineRule="exact"/>
              <w:rPr>
                <w:rFonts w:cs="宋体" w:asciiTheme="minorEastAsia" w:hAnsiTheme="minorEastAsia" w:eastAsiaTheme="minorEastAsia"/>
                <w:kern w:val="0"/>
                <w:sz w:val="24"/>
              </w:rPr>
            </w:pPr>
          </w:p>
        </w:tc>
        <w:tc>
          <w:tcPr>
            <w:tcW w:w="7421" w:type="dxa"/>
            <w:vAlign w:val="center"/>
          </w:tcPr>
          <w:p>
            <w:pPr>
              <w:spacing w:line="500" w:lineRule="exact"/>
              <w:jc w:val="center"/>
              <w:rPr>
                <w:rFonts w:cs="宋体" w:asciiTheme="minorEastAsia" w:hAnsiTheme="minorEastAsia" w:eastAsiaTheme="minorEastAsia"/>
                <w:kern w:val="0"/>
                <w:sz w:val="24"/>
              </w:rPr>
            </w:pPr>
          </w:p>
        </w:tc>
      </w:tr>
    </w:tbl>
    <w:p>
      <w:pPr>
        <w:tabs>
          <w:tab w:val="left" w:pos="6220"/>
          <w:tab w:val="left" w:pos="8080"/>
          <w:tab w:val="left" w:pos="8780"/>
        </w:tabs>
        <w:autoSpaceDE w:val="0"/>
        <w:autoSpaceDN w:val="0"/>
        <w:adjustRightInd w:val="0"/>
        <w:spacing w:line="288" w:lineRule="auto"/>
        <w:ind w:right="146"/>
        <w:jc w:val="left"/>
        <w:rPr>
          <w:rFonts w:cs="宋体" w:asciiTheme="minorEastAsia" w:hAnsiTheme="minorEastAsia" w:eastAsiaTheme="minorEastAsia"/>
          <w:kern w:val="0"/>
          <w:sz w:val="24"/>
        </w:rPr>
      </w:pPr>
    </w:p>
    <w:p>
      <w:pPr>
        <w:tabs>
          <w:tab w:val="left" w:pos="6220"/>
          <w:tab w:val="left" w:pos="8080"/>
          <w:tab w:val="left" w:pos="8780"/>
        </w:tabs>
        <w:autoSpaceDE w:val="0"/>
        <w:autoSpaceDN w:val="0"/>
        <w:adjustRightInd w:val="0"/>
        <w:spacing w:line="360" w:lineRule="auto"/>
        <w:ind w:right="146"/>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供应商：</w:t>
      </w:r>
      <w:r>
        <w:rPr>
          <w:rFonts w:hint="eastAsia" w:cs="宋体" w:asciiTheme="minorEastAsia" w:hAnsiTheme="minorEastAsia" w:eastAsiaTheme="minorEastAsia"/>
          <w:kern w:val="0"/>
          <w:sz w:val="24"/>
          <w:u w:val="single"/>
        </w:rPr>
        <w:t xml:space="preserve">        </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单位盖章</w:t>
      </w:r>
      <w:r>
        <w:rPr>
          <w:rFonts w:cs="宋体" w:asciiTheme="minorEastAsia" w:hAnsiTheme="minorEastAsia" w:eastAsiaTheme="minorEastAsia"/>
          <w:kern w:val="0"/>
          <w:sz w:val="24"/>
          <w:u w:val="single"/>
        </w:rPr>
        <w:t>)</w:t>
      </w:r>
      <w:r>
        <w:rPr>
          <w:rFonts w:cs="宋体" w:asciiTheme="minorEastAsia" w:hAnsiTheme="minorEastAsia" w:eastAsiaTheme="minorEastAsia"/>
          <w:kern w:val="0"/>
          <w:sz w:val="24"/>
        </w:rPr>
        <w:t xml:space="preserve"> </w:t>
      </w:r>
    </w:p>
    <w:p>
      <w:pPr>
        <w:tabs>
          <w:tab w:val="left" w:pos="6220"/>
          <w:tab w:val="left" w:pos="8080"/>
          <w:tab w:val="left" w:pos="8780"/>
        </w:tabs>
        <w:autoSpaceDE w:val="0"/>
        <w:autoSpaceDN w:val="0"/>
        <w:adjustRightInd w:val="0"/>
        <w:spacing w:line="360" w:lineRule="auto"/>
        <w:ind w:right="146"/>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法定代表人或其委托代理人</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签字</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u w:val="single"/>
        </w:rPr>
        <w:tab/>
      </w:r>
      <w:r>
        <w:rPr>
          <w:rFonts w:cs="宋体" w:asciiTheme="minorEastAsia" w:hAnsiTheme="minorEastAsia" w:eastAsiaTheme="minorEastAsia"/>
          <w:kern w:val="0"/>
          <w:sz w:val="24"/>
        </w:rPr>
        <w:tab/>
      </w:r>
      <w:r>
        <w:rPr>
          <w:rFonts w:cs="宋体" w:asciiTheme="minorEastAsia" w:hAnsiTheme="minorEastAsia" w:eastAsiaTheme="minorEastAsia"/>
          <w:kern w:val="0"/>
          <w:sz w:val="24"/>
        </w:rPr>
        <w:t xml:space="preserve"> </w:t>
      </w:r>
    </w:p>
    <w:p>
      <w:pPr>
        <w:tabs>
          <w:tab w:val="left" w:pos="7480"/>
          <w:tab w:val="left" w:pos="8080"/>
          <w:tab w:val="left" w:pos="8780"/>
        </w:tabs>
        <w:autoSpaceDE w:val="0"/>
        <w:autoSpaceDN w:val="0"/>
        <w:adjustRightInd w:val="0"/>
        <w:spacing w:line="360" w:lineRule="auto"/>
        <w:ind w:right="146"/>
        <w:jc w:val="left"/>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rPr>
        <w:t>电话：</w:t>
      </w:r>
      <w:r>
        <w:rPr>
          <w:rFonts w:cs="宋体" w:asciiTheme="minorEastAsia" w:hAnsiTheme="minorEastAsia" w:eastAsiaTheme="minorEastAsia"/>
          <w:kern w:val="0"/>
          <w:sz w:val="24"/>
          <w:u w:val="single"/>
        </w:rPr>
        <w:tab/>
      </w:r>
      <w:r>
        <w:rPr>
          <w:rFonts w:cs="宋体" w:asciiTheme="minorEastAsia" w:hAnsiTheme="minorEastAsia" w:eastAsiaTheme="minorEastAsia"/>
          <w:kern w:val="0"/>
          <w:sz w:val="24"/>
          <w:u w:val="single"/>
        </w:rPr>
        <w:tab/>
      </w:r>
    </w:p>
    <w:p>
      <w:pPr>
        <w:spacing w:line="360" w:lineRule="auto"/>
        <w:jc w:val="righ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年</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月</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 xml:space="preserve">日 </w:t>
      </w:r>
    </w:p>
    <w:p>
      <w:pPr>
        <w:spacing w:line="360" w:lineRule="auto"/>
        <w:ind w:right="1280"/>
        <w:rPr>
          <w:rFonts w:ascii="仿宋" w:hAnsi="仿宋" w:eastAsia="仿宋" w:cs="宋体"/>
          <w:kern w:val="0"/>
          <w:sz w:val="30"/>
          <w:szCs w:val="30"/>
        </w:rPr>
      </w:pPr>
    </w:p>
    <w:p>
      <w:pPr>
        <w:pStyle w:val="22"/>
      </w:pPr>
    </w:p>
    <w:p>
      <w:pPr>
        <w:pStyle w:val="23"/>
      </w:pPr>
    </w:p>
    <w:p>
      <w:pPr>
        <w:spacing w:after="312" w:afterLines="100" w:line="500" w:lineRule="exact"/>
        <w:jc w:val="center"/>
        <w:rPr>
          <w:rFonts w:ascii="宋体" w:hAnsi="宋体"/>
          <w:b/>
          <w:sz w:val="28"/>
          <w:szCs w:val="28"/>
        </w:rPr>
      </w:pPr>
      <w:r>
        <w:rPr>
          <w:rFonts w:hint="eastAsia" w:ascii="宋体" w:hAnsi="宋体"/>
          <w:b/>
          <w:sz w:val="28"/>
          <w:szCs w:val="28"/>
        </w:rPr>
        <w:t>二、法定代表人授权委托书</w:t>
      </w:r>
    </w:p>
    <w:p>
      <w:pPr>
        <w:spacing w:line="360" w:lineRule="auto"/>
        <w:ind w:firstLine="525" w:firstLineChars="250"/>
        <w:rPr>
          <w:rFonts w:ascii="宋体" w:hAnsi="宋体"/>
          <w:szCs w:val="28"/>
        </w:rPr>
      </w:pPr>
      <w:r>
        <w:rPr>
          <w:rFonts w:hint="eastAsia" w:ascii="宋体" w:hAnsi="宋体"/>
          <w:szCs w:val="28"/>
        </w:rPr>
        <w:t>本授权委托书申明：我</w:t>
      </w:r>
      <w:r>
        <w:rPr>
          <w:rFonts w:hint="eastAsia" w:ascii="宋体" w:hAnsi="宋体"/>
          <w:szCs w:val="28"/>
          <w:u w:val="single"/>
        </w:rPr>
        <w:t xml:space="preserve">       </w:t>
      </w:r>
      <w:r>
        <w:rPr>
          <w:rFonts w:hint="eastAsia" w:ascii="宋体" w:hAnsi="宋体"/>
          <w:szCs w:val="28"/>
        </w:rPr>
        <w:t xml:space="preserve">（姓名）系 </w:t>
      </w:r>
      <w:r>
        <w:rPr>
          <w:rFonts w:hint="eastAsia" w:ascii="宋体" w:hAnsi="宋体"/>
          <w:szCs w:val="28"/>
          <w:u w:val="single"/>
        </w:rPr>
        <w:t xml:space="preserve">      </w:t>
      </w:r>
      <w:r>
        <w:rPr>
          <w:rFonts w:hint="eastAsia" w:ascii="宋体" w:hAnsi="宋体"/>
          <w:szCs w:val="28"/>
        </w:rPr>
        <w:t>（投标单位）的法定代表人，现授权委托</w:t>
      </w:r>
      <w:r>
        <w:rPr>
          <w:rFonts w:hint="eastAsia" w:ascii="宋体" w:hAnsi="宋体"/>
          <w:szCs w:val="28"/>
          <w:u w:val="single"/>
        </w:rPr>
        <w:t xml:space="preserve">             </w:t>
      </w:r>
      <w:r>
        <w:rPr>
          <w:rFonts w:hint="eastAsia" w:ascii="宋体" w:hAnsi="宋体"/>
          <w:szCs w:val="28"/>
        </w:rPr>
        <w:t>（单位名称）</w:t>
      </w:r>
      <w:r>
        <w:rPr>
          <w:rFonts w:hint="eastAsia" w:ascii="宋体" w:hAnsi="宋体"/>
          <w:szCs w:val="28"/>
          <w:u w:val="single"/>
        </w:rPr>
        <w:t xml:space="preserve">      </w:t>
      </w:r>
      <w:r>
        <w:rPr>
          <w:rFonts w:hint="eastAsia" w:ascii="宋体" w:hAnsi="宋体"/>
          <w:szCs w:val="28"/>
        </w:rPr>
        <w:t>（姓名）为我的委托代理人，以本公司的名义参加</w:t>
      </w:r>
      <w:r>
        <w:rPr>
          <w:rFonts w:hint="eastAsia" w:ascii="宋体" w:hAnsi="宋体"/>
          <w:szCs w:val="28"/>
          <w:u w:val="single"/>
        </w:rPr>
        <w:t xml:space="preserve">              </w:t>
      </w:r>
      <w:r>
        <w:rPr>
          <w:rFonts w:hint="eastAsia" w:ascii="宋体" w:hAnsi="宋体"/>
          <w:szCs w:val="28"/>
        </w:rPr>
        <w:t>工程的造价咨询报价，授权委托人在开标、评标、合同谈判过程中所签署的一切文件和处理与之有关的一切事务，我均予以承认。</w:t>
      </w:r>
    </w:p>
    <w:p>
      <w:pPr>
        <w:spacing w:line="360" w:lineRule="auto"/>
        <w:ind w:firstLine="210" w:firstLineChars="100"/>
        <w:rPr>
          <w:rFonts w:ascii="宋体" w:hAnsi="宋体"/>
          <w:szCs w:val="28"/>
        </w:rPr>
      </w:pPr>
      <w:r>
        <w:rPr>
          <w:rFonts w:hint="eastAsia" w:ascii="宋体" w:hAnsi="宋体"/>
          <w:szCs w:val="28"/>
        </w:rPr>
        <w:t xml:space="preserve">   代理人无转委托权，特此委托。</w:t>
      </w:r>
    </w:p>
    <w:p>
      <w:pPr>
        <w:spacing w:line="360" w:lineRule="auto"/>
        <w:ind w:firstLine="210" w:firstLineChars="100"/>
        <w:rPr>
          <w:rFonts w:ascii="宋体" w:hAnsi="宋体"/>
          <w:szCs w:val="28"/>
        </w:rPr>
      </w:pPr>
    </w:p>
    <w:p>
      <w:pPr>
        <w:spacing w:line="360" w:lineRule="auto"/>
        <w:ind w:firstLine="210" w:firstLineChars="100"/>
        <w:rPr>
          <w:rFonts w:ascii="宋体" w:hAnsi="宋体"/>
          <w:szCs w:val="28"/>
        </w:rPr>
      </w:pPr>
    </w:p>
    <w:p>
      <w:pPr>
        <w:spacing w:line="360" w:lineRule="auto"/>
        <w:ind w:firstLine="210" w:firstLineChars="100"/>
        <w:rPr>
          <w:rFonts w:ascii="宋体" w:hAnsi="宋体"/>
          <w:szCs w:val="28"/>
        </w:rPr>
      </w:pPr>
      <w:r>
        <w:rPr>
          <w:rFonts w:hint="eastAsia" w:ascii="宋体" w:hAnsi="宋体"/>
          <w:szCs w:val="28"/>
        </w:rPr>
        <w:t>投标单位（盖章）：</w:t>
      </w:r>
      <w:r>
        <w:rPr>
          <w:rFonts w:hint="eastAsia" w:ascii="宋体" w:hAnsi="宋体"/>
          <w:szCs w:val="28"/>
          <w:u w:val="single"/>
        </w:rPr>
        <w:t xml:space="preserve">                         </w:t>
      </w:r>
      <w:r>
        <w:rPr>
          <w:rFonts w:ascii="宋体" w:hAnsi="宋体"/>
          <w:szCs w:val="28"/>
        </w:rPr>
        <w:t xml:space="preserve"> </w:t>
      </w:r>
    </w:p>
    <w:p>
      <w:pPr>
        <w:spacing w:line="360" w:lineRule="auto"/>
        <w:ind w:firstLine="210" w:firstLineChars="100"/>
        <w:rPr>
          <w:rFonts w:ascii="宋体" w:hAnsi="宋体"/>
          <w:szCs w:val="28"/>
          <w:u w:val="single"/>
        </w:rPr>
      </w:pPr>
      <w:r>
        <w:rPr>
          <w:rFonts w:hint="eastAsia" w:ascii="宋体" w:hAnsi="宋体"/>
          <w:szCs w:val="28"/>
        </w:rPr>
        <w:t>法定代表人（签字或盖章）：</w:t>
      </w:r>
      <w:r>
        <w:rPr>
          <w:rFonts w:hint="eastAsia" w:ascii="宋体" w:hAnsi="宋体"/>
          <w:szCs w:val="28"/>
          <w:u w:val="single"/>
        </w:rPr>
        <w:t xml:space="preserve">                 </w:t>
      </w:r>
    </w:p>
    <w:p>
      <w:pPr>
        <w:spacing w:line="360" w:lineRule="auto"/>
        <w:ind w:firstLine="210" w:firstLineChars="100"/>
        <w:rPr>
          <w:rFonts w:ascii="宋体" w:hAnsi="宋体"/>
          <w:szCs w:val="28"/>
          <w:u w:val="single"/>
        </w:rPr>
      </w:pPr>
      <w:r>
        <w:rPr>
          <w:rFonts w:hint="eastAsia" w:ascii="宋体" w:hAnsi="宋体"/>
          <w:szCs w:val="28"/>
        </w:rPr>
        <w:t>身份证号码：</w:t>
      </w:r>
      <w:r>
        <w:rPr>
          <w:rFonts w:hint="eastAsia" w:ascii="宋体" w:hAnsi="宋体"/>
          <w:szCs w:val="28"/>
          <w:u w:val="single"/>
        </w:rPr>
        <w:t xml:space="preserve">                              </w:t>
      </w:r>
      <w:r>
        <w:rPr>
          <w:rFonts w:ascii="宋体" w:hAnsi="宋体"/>
          <w:szCs w:val="28"/>
        </w:rPr>
        <w:t xml:space="preserve"> </w:t>
      </w:r>
    </w:p>
    <w:p>
      <w:pPr>
        <w:spacing w:line="360" w:lineRule="auto"/>
        <w:ind w:firstLine="210" w:firstLineChars="100"/>
        <w:rPr>
          <w:rFonts w:ascii="宋体" w:hAnsi="宋体"/>
          <w:szCs w:val="28"/>
          <w:u w:val="single"/>
        </w:rPr>
      </w:pPr>
      <w:r>
        <w:rPr>
          <w:rFonts w:hint="eastAsia" w:ascii="宋体" w:hAnsi="宋体"/>
          <w:szCs w:val="28"/>
        </w:rPr>
        <w:t>委托代理人（签字或盖章）：</w:t>
      </w:r>
      <w:r>
        <w:rPr>
          <w:rFonts w:hint="eastAsia" w:ascii="宋体" w:hAnsi="宋体"/>
          <w:szCs w:val="28"/>
          <w:u w:val="single"/>
        </w:rPr>
        <w:t xml:space="preserve">                 </w:t>
      </w:r>
    </w:p>
    <w:p>
      <w:pPr>
        <w:spacing w:line="360" w:lineRule="auto"/>
        <w:ind w:firstLine="210" w:firstLineChars="100"/>
        <w:rPr>
          <w:rFonts w:ascii="宋体" w:hAnsi="宋体"/>
          <w:szCs w:val="28"/>
          <w:u w:val="single"/>
        </w:rPr>
      </w:pPr>
      <w:r>
        <w:rPr>
          <w:rFonts w:hint="eastAsia" w:ascii="宋体" w:hAnsi="宋体"/>
          <w:szCs w:val="28"/>
        </w:rPr>
        <w:t>身份证号码：</w:t>
      </w:r>
      <w:r>
        <w:rPr>
          <w:rFonts w:hint="eastAsia" w:ascii="宋体" w:hAnsi="宋体"/>
          <w:szCs w:val="28"/>
          <w:u w:val="single"/>
        </w:rPr>
        <w:t xml:space="preserve">                              </w:t>
      </w:r>
      <w:r>
        <w:rPr>
          <w:rFonts w:ascii="宋体" w:hAnsi="宋体"/>
          <w:szCs w:val="28"/>
        </w:rPr>
        <w:t xml:space="preserve"> </w:t>
      </w:r>
    </w:p>
    <w:p>
      <w:pPr>
        <w:spacing w:line="360" w:lineRule="auto"/>
        <w:rPr>
          <w:rFonts w:ascii="宋体" w:hAnsi="宋体"/>
          <w:szCs w:val="28"/>
        </w:rPr>
      </w:pPr>
    </w:p>
    <w:p>
      <w:pPr>
        <w:spacing w:line="360" w:lineRule="auto"/>
        <w:ind w:firstLine="3255" w:firstLineChars="1550"/>
        <w:rPr>
          <w:rFonts w:ascii="宋体" w:hAnsi="宋体"/>
          <w:szCs w:val="28"/>
        </w:rPr>
      </w:pPr>
      <w:r>
        <w:rPr>
          <w:rFonts w:hint="eastAsia" w:ascii="宋体" w:hAnsi="宋体"/>
          <w:szCs w:val="28"/>
          <w:u w:val="single"/>
        </w:rPr>
        <w:t xml:space="preserve">         </w:t>
      </w:r>
      <w:r>
        <w:rPr>
          <w:rFonts w:hint="eastAsia" w:ascii="宋体" w:hAnsi="宋体"/>
          <w:szCs w:val="28"/>
        </w:rPr>
        <w:t>年</w:t>
      </w:r>
      <w:r>
        <w:rPr>
          <w:rFonts w:hint="eastAsia" w:ascii="宋体" w:hAnsi="宋体"/>
          <w:szCs w:val="28"/>
          <w:u w:val="single"/>
        </w:rPr>
        <w:t xml:space="preserve">     </w:t>
      </w:r>
      <w:r>
        <w:rPr>
          <w:rFonts w:hint="eastAsia" w:ascii="宋体" w:hAnsi="宋体"/>
          <w:szCs w:val="28"/>
        </w:rPr>
        <w:t>月</w:t>
      </w:r>
      <w:r>
        <w:rPr>
          <w:rFonts w:hint="eastAsia" w:ascii="宋体" w:hAnsi="宋体"/>
          <w:szCs w:val="28"/>
          <w:u w:val="single"/>
        </w:rPr>
        <w:t xml:space="preserve">     </w:t>
      </w:r>
      <w:r>
        <w:rPr>
          <w:rFonts w:hint="eastAsia" w:ascii="宋体" w:hAnsi="宋体"/>
          <w:szCs w:val="28"/>
        </w:rPr>
        <w:t>日</w:t>
      </w:r>
    </w:p>
    <w:p>
      <w:pPr>
        <w:spacing w:line="500" w:lineRule="exact"/>
        <w:jc w:val="center"/>
        <w:rPr>
          <w:rFonts w:ascii="仿宋" w:hAnsi="仿宋" w:eastAsia="仿宋" w:cs="宋体"/>
          <w:kern w:val="0"/>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lowerLetter"/>
      <w:pStyle w:val="27"/>
      <w:lvlText w:val="%1."/>
      <w:legacy w:legacy="1" w:legacySpace="0" w:legacyIndent="425"/>
      <w:lvlJc w:val="left"/>
      <w:pPr>
        <w:ind w:left="425" w:hanging="425"/>
      </w:pPr>
      <w:rPr>
        <w:rFonts w:hint="eastAsia" w:ascii="宋体" w:eastAsia="宋体"/>
        <w:b w:val="0"/>
        <w:i w:val="0"/>
      </w:rPr>
    </w:lvl>
    <w:lvl w:ilvl="1" w:tentative="0">
      <w:start w:val="1"/>
      <w:numFmt w:val="decimal"/>
      <w:pStyle w:val="28"/>
      <w:lvlText w:val="%1.%2."/>
      <w:legacy w:legacy="1" w:legacySpace="0" w:legacyIndent="425"/>
      <w:lvlJc w:val="left"/>
      <w:pPr>
        <w:ind w:left="850" w:hanging="425"/>
      </w:pPr>
    </w:lvl>
    <w:lvl w:ilvl="2" w:tentative="0">
      <w:start w:val="1"/>
      <w:numFmt w:val="decimal"/>
      <w:lvlText w:val="%1.%2.%3."/>
      <w:legacy w:legacy="1" w:legacySpace="0" w:legacyIndent="425"/>
      <w:lvlJc w:val="left"/>
      <w:pPr>
        <w:ind w:left="1275" w:hanging="425"/>
      </w:pPr>
    </w:lvl>
    <w:lvl w:ilvl="3" w:tentative="0">
      <w:start w:val="1"/>
      <w:numFmt w:val="decimal"/>
      <w:lvlText w:val="%1.%2.%3.%4."/>
      <w:legacy w:legacy="1" w:legacySpace="0" w:legacyIndent="425"/>
      <w:lvlJc w:val="left"/>
      <w:pPr>
        <w:ind w:left="1700" w:hanging="425"/>
      </w:pPr>
    </w:lvl>
    <w:lvl w:ilvl="4" w:tentative="0">
      <w:start w:val="1"/>
      <w:numFmt w:val="decimal"/>
      <w:lvlText w:val="%1.%2.%3.%4.%5."/>
      <w:legacy w:legacy="1" w:legacySpace="0" w:legacyIndent="425"/>
      <w:lvlJc w:val="left"/>
      <w:pPr>
        <w:ind w:left="2125" w:hanging="425"/>
      </w:pPr>
    </w:lvl>
    <w:lvl w:ilvl="5" w:tentative="0">
      <w:start w:val="1"/>
      <w:numFmt w:val="decimal"/>
      <w:lvlText w:val="%1.%2.%3.%4.%5.%6."/>
      <w:legacy w:legacy="1" w:legacySpace="0" w:legacyIndent="425"/>
      <w:lvlJc w:val="left"/>
      <w:pPr>
        <w:ind w:left="2550" w:hanging="425"/>
      </w:pPr>
    </w:lvl>
    <w:lvl w:ilvl="6" w:tentative="0">
      <w:start w:val="1"/>
      <w:numFmt w:val="decimal"/>
      <w:lvlText w:val="%1.%2.%3.%4.%5.%6.%7."/>
      <w:legacy w:legacy="1" w:legacySpace="0" w:legacyIndent="425"/>
      <w:lvlJc w:val="left"/>
      <w:pPr>
        <w:ind w:left="2975" w:hanging="425"/>
      </w:pPr>
    </w:lvl>
    <w:lvl w:ilvl="7" w:tentative="0">
      <w:start w:val="1"/>
      <w:numFmt w:val="decimal"/>
      <w:lvlText w:val="%1.%2.%3.%4.%5.%6.%7.%8."/>
      <w:legacy w:legacy="1" w:legacySpace="0" w:legacyIndent="425"/>
      <w:lvlJc w:val="left"/>
      <w:pPr>
        <w:ind w:left="3400" w:hanging="425"/>
      </w:pPr>
    </w:lvl>
    <w:lvl w:ilvl="8" w:tentative="0">
      <w:start w:val="1"/>
      <w:numFmt w:val="decimal"/>
      <w:lvlText w:val="%1.%2.%3.%4.%5.%6.%7.%8.%9."/>
      <w:legacy w:legacy="1" w:legacySpace="0" w:legacyIndent="425"/>
      <w:lvlJc w:val="left"/>
      <w:pPr>
        <w:ind w:left="3825" w:hanging="425"/>
      </w:pPr>
    </w:lvl>
  </w:abstractNum>
  <w:abstractNum w:abstractNumId="1">
    <w:nsid w:val="272568BD"/>
    <w:multiLevelType w:val="multilevel"/>
    <w:tmpl w:val="272568BD"/>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500461A1"/>
    <w:multiLevelType w:val="singleLevel"/>
    <w:tmpl w:val="500461A1"/>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91"/>
    <w:rsid w:val="00015D1B"/>
    <w:rsid w:val="00027B15"/>
    <w:rsid w:val="00036AAC"/>
    <w:rsid w:val="00041DC9"/>
    <w:rsid w:val="00042545"/>
    <w:rsid w:val="00051182"/>
    <w:rsid w:val="000743C0"/>
    <w:rsid w:val="00080BEA"/>
    <w:rsid w:val="0008137B"/>
    <w:rsid w:val="00093888"/>
    <w:rsid w:val="0009750D"/>
    <w:rsid w:val="000A1935"/>
    <w:rsid w:val="000A4BAF"/>
    <w:rsid w:val="000A537F"/>
    <w:rsid w:val="000B414E"/>
    <w:rsid w:val="000B667B"/>
    <w:rsid w:val="000C44D3"/>
    <w:rsid w:val="000D3B64"/>
    <w:rsid w:val="000D4153"/>
    <w:rsid w:val="000F50A1"/>
    <w:rsid w:val="000F7786"/>
    <w:rsid w:val="00100229"/>
    <w:rsid w:val="00100AEF"/>
    <w:rsid w:val="001326B5"/>
    <w:rsid w:val="0013321E"/>
    <w:rsid w:val="001406EF"/>
    <w:rsid w:val="001410B8"/>
    <w:rsid w:val="00145C15"/>
    <w:rsid w:val="001544A0"/>
    <w:rsid w:val="00164DD2"/>
    <w:rsid w:val="00166FAA"/>
    <w:rsid w:val="00170FF9"/>
    <w:rsid w:val="001726C6"/>
    <w:rsid w:val="00173071"/>
    <w:rsid w:val="001765FE"/>
    <w:rsid w:val="00180242"/>
    <w:rsid w:val="00191B67"/>
    <w:rsid w:val="0019283C"/>
    <w:rsid w:val="00192AF7"/>
    <w:rsid w:val="001A091C"/>
    <w:rsid w:val="001A1716"/>
    <w:rsid w:val="001A2E21"/>
    <w:rsid w:val="001C2474"/>
    <w:rsid w:val="001C6573"/>
    <w:rsid w:val="001D53A9"/>
    <w:rsid w:val="001D77C5"/>
    <w:rsid w:val="001E092E"/>
    <w:rsid w:val="001F71D2"/>
    <w:rsid w:val="0021687C"/>
    <w:rsid w:val="00222349"/>
    <w:rsid w:val="00223663"/>
    <w:rsid w:val="0022478E"/>
    <w:rsid w:val="002303C0"/>
    <w:rsid w:val="00240BE0"/>
    <w:rsid w:val="00262142"/>
    <w:rsid w:val="002622BF"/>
    <w:rsid w:val="002664EA"/>
    <w:rsid w:val="00267BAF"/>
    <w:rsid w:val="00274B6D"/>
    <w:rsid w:val="00275A23"/>
    <w:rsid w:val="00287567"/>
    <w:rsid w:val="00296615"/>
    <w:rsid w:val="002A101A"/>
    <w:rsid w:val="002B171C"/>
    <w:rsid w:val="002B59A5"/>
    <w:rsid w:val="002B7E40"/>
    <w:rsid w:val="002C3D0E"/>
    <w:rsid w:val="002D1D65"/>
    <w:rsid w:val="002E28B2"/>
    <w:rsid w:val="002F0CBD"/>
    <w:rsid w:val="00305A28"/>
    <w:rsid w:val="0030639A"/>
    <w:rsid w:val="0031682F"/>
    <w:rsid w:val="00333B9E"/>
    <w:rsid w:val="00334E9F"/>
    <w:rsid w:val="00335380"/>
    <w:rsid w:val="00343AE1"/>
    <w:rsid w:val="00357DF1"/>
    <w:rsid w:val="003634F0"/>
    <w:rsid w:val="00364F0B"/>
    <w:rsid w:val="00365F4F"/>
    <w:rsid w:val="00366A66"/>
    <w:rsid w:val="003670FB"/>
    <w:rsid w:val="00382F7E"/>
    <w:rsid w:val="0038770C"/>
    <w:rsid w:val="003909A0"/>
    <w:rsid w:val="00394964"/>
    <w:rsid w:val="003A0AF0"/>
    <w:rsid w:val="003C7F47"/>
    <w:rsid w:val="003E2625"/>
    <w:rsid w:val="003E3D7B"/>
    <w:rsid w:val="003F39E4"/>
    <w:rsid w:val="004042D8"/>
    <w:rsid w:val="00410320"/>
    <w:rsid w:val="00411A1F"/>
    <w:rsid w:val="004169E4"/>
    <w:rsid w:val="00432BED"/>
    <w:rsid w:val="004404CB"/>
    <w:rsid w:val="00462DAC"/>
    <w:rsid w:val="00470468"/>
    <w:rsid w:val="00471249"/>
    <w:rsid w:val="00471965"/>
    <w:rsid w:val="00474C97"/>
    <w:rsid w:val="0048090A"/>
    <w:rsid w:val="004907D8"/>
    <w:rsid w:val="00491352"/>
    <w:rsid w:val="00493977"/>
    <w:rsid w:val="00496F78"/>
    <w:rsid w:val="0049702A"/>
    <w:rsid w:val="00497670"/>
    <w:rsid w:val="004B346D"/>
    <w:rsid w:val="004C1B0D"/>
    <w:rsid w:val="004D4338"/>
    <w:rsid w:val="004D73B2"/>
    <w:rsid w:val="004E702A"/>
    <w:rsid w:val="004F0426"/>
    <w:rsid w:val="004F3444"/>
    <w:rsid w:val="004F6335"/>
    <w:rsid w:val="0051098E"/>
    <w:rsid w:val="0051447B"/>
    <w:rsid w:val="00524D42"/>
    <w:rsid w:val="005268EB"/>
    <w:rsid w:val="00526ED1"/>
    <w:rsid w:val="0053575B"/>
    <w:rsid w:val="00544673"/>
    <w:rsid w:val="005449DA"/>
    <w:rsid w:val="00560DE9"/>
    <w:rsid w:val="0056134D"/>
    <w:rsid w:val="00567FF7"/>
    <w:rsid w:val="005815EB"/>
    <w:rsid w:val="00581691"/>
    <w:rsid w:val="00586A03"/>
    <w:rsid w:val="00592F76"/>
    <w:rsid w:val="00597EDF"/>
    <w:rsid w:val="005A1A89"/>
    <w:rsid w:val="005A7BAC"/>
    <w:rsid w:val="005B2619"/>
    <w:rsid w:val="005B761D"/>
    <w:rsid w:val="005C2768"/>
    <w:rsid w:val="005C6C38"/>
    <w:rsid w:val="005E32CF"/>
    <w:rsid w:val="005E7FD8"/>
    <w:rsid w:val="005F704D"/>
    <w:rsid w:val="00616029"/>
    <w:rsid w:val="00632B02"/>
    <w:rsid w:val="006349A3"/>
    <w:rsid w:val="006446AE"/>
    <w:rsid w:val="00650029"/>
    <w:rsid w:val="00655A76"/>
    <w:rsid w:val="00662498"/>
    <w:rsid w:val="006646DB"/>
    <w:rsid w:val="0066671D"/>
    <w:rsid w:val="00671299"/>
    <w:rsid w:val="00672DE4"/>
    <w:rsid w:val="00680923"/>
    <w:rsid w:val="00687998"/>
    <w:rsid w:val="00692E3D"/>
    <w:rsid w:val="006B6A23"/>
    <w:rsid w:val="006C1B45"/>
    <w:rsid w:val="006C4DFE"/>
    <w:rsid w:val="006D19E8"/>
    <w:rsid w:val="006D44AD"/>
    <w:rsid w:val="006E17B9"/>
    <w:rsid w:val="006E1A39"/>
    <w:rsid w:val="006F7A45"/>
    <w:rsid w:val="00700560"/>
    <w:rsid w:val="0070195E"/>
    <w:rsid w:val="00706ADF"/>
    <w:rsid w:val="0070759E"/>
    <w:rsid w:val="00707A1C"/>
    <w:rsid w:val="00712DD2"/>
    <w:rsid w:val="00713493"/>
    <w:rsid w:val="007177B8"/>
    <w:rsid w:val="00723BA1"/>
    <w:rsid w:val="00725E71"/>
    <w:rsid w:val="00736E8F"/>
    <w:rsid w:val="00756F32"/>
    <w:rsid w:val="00766B5C"/>
    <w:rsid w:val="00775B02"/>
    <w:rsid w:val="00780CF0"/>
    <w:rsid w:val="007821C4"/>
    <w:rsid w:val="00786A04"/>
    <w:rsid w:val="00791DBC"/>
    <w:rsid w:val="00797A65"/>
    <w:rsid w:val="007A404E"/>
    <w:rsid w:val="007A49A3"/>
    <w:rsid w:val="007A7A18"/>
    <w:rsid w:val="007A7B8D"/>
    <w:rsid w:val="007B178B"/>
    <w:rsid w:val="007C58EF"/>
    <w:rsid w:val="007D4DDE"/>
    <w:rsid w:val="007D7D28"/>
    <w:rsid w:val="007E0398"/>
    <w:rsid w:val="007E23A7"/>
    <w:rsid w:val="007E35A6"/>
    <w:rsid w:val="007E520E"/>
    <w:rsid w:val="007E5690"/>
    <w:rsid w:val="007E6C86"/>
    <w:rsid w:val="007E7CD4"/>
    <w:rsid w:val="007F3CEB"/>
    <w:rsid w:val="00800689"/>
    <w:rsid w:val="0080165E"/>
    <w:rsid w:val="00812CC3"/>
    <w:rsid w:val="0082155C"/>
    <w:rsid w:val="00826590"/>
    <w:rsid w:val="00831C0C"/>
    <w:rsid w:val="00833D55"/>
    <w:rsid w:val="008525F9"/>
    <w:rsid w:val="008626C1"/>
    <w:rsid w:val="00863A98"/>
    <w:rsid w:val="00865B33"/>
    <w:rsid w:val="00884A40"/>
    <w:rsid w:val="00884D90"/>
    <w:rsid w:val="0089066D"/>
    <w:rsid w:val="008B12A2"/>
    <w:rsid w:val="008D0672"/>
    <w:rsid w:val="008D15C3"/>
    <w:rsid w:val="008D1ABA"/>
    <w:rsid w:val="008E7DE8"/>
    <w:rsid w:val="0090078F"/>
    <w:rsid w:val="0091051C"/>
    <w:rsid w:val="00914E65"/>
    <w:rsid w:val="009163D3"/>
    <w:rsid w:val="00942647"/>
    <w:rsid w:val="0094358F"/>
    <w:rsid w:val="00947978"/>
    <w:rsid w:val="0096014E"/>
    <w:rsid w:val="00961831"/>
    <w:rsid w:val="00964AC2"/>
    <w:rsid w:val="0096554E"/>
    <w:rsid w:val="00966A2D"/>
    <w:rsid w:val="00970143"/>
    <w:rsid w:val="00990A58"/>
    <w:rsid w:val="009A014F"/>
    <w:rsid w:val="009A5AE9"/>
    <w:rsid w:val="009A6BF4"/>
    <w:rsid w:val="009B0DB2"/>
    <w:rsid w:val="009D0763"/>
    <w:rsid w:val="009D4A6C"/>
    <w:rsid w:val="009E15BF"/>
    <w:rsid w:val="009E15F4"/>
    <w:rsid w:val="00A00C28"/>
    <w:rsid w:val="00A04253"/>
    <w:rsid w:val="00A04D36"/>
    <w:rsid w:val="00A062B0"/>
    <w:rsid w:val="00A14DEC"/>
    <w:rsid w:val="00A330D4"/>
    <w:rsid w:val="00A339D2"/>
    <w:rsid w:val="00A515DC"/>
    <w:rsid w:val="00A53FEA"/>
    <w:rsid w:val="00A5487F"/>
    <w:rsid w:val="00A55E54"/>
    <w:rsid w:val="00A56E63"/>
    <w:rsid w:val="00A61B02"/>
    <w:rsid w:val="00A61DE0"/>
    <w:rsid w:val="00A7662A"/>
    <w:rsid w:val="00A868B9"/>
    <w:rsid w:val="00A90BA8"/>
    <w:rsid w:val="00A90E77"/>
    <w:rsid w:val="00A968D6"/>
    <w:rsid w:val="00AA2229"/>
    <w:rsid w:val="00AA23CE"/>
    <w:rsid w:val="00AC5945"/>
    <w:rsid w:val="00AC79F1"/>
    <w:rsid w:val="00AD5597"/>
    <w:rsid w:val="00AD60D7"/>
    <w:rsid w:val="00B003D9"/>
    <w:rsid w:val="00B05D6B"/>
    <w:rsid w:val="00B1440F"/>
    <w:rsid w:val="00B30918"/>
    <w:rsid w:val="00B30CFC"/>
    <w:rsid w:val="00B510AA"/>
    <w:rsid w:val="00B67AAC"/>
    <w:rsid w:val="00B704A9"/>
    <w:rsid w:val="00B735CC"/>
    <w:rsid w:val="00B73F88"/>
    <w:rsid w:val="00B80357"/>
    <w:rsid w:val="00B814E5"/>
    <w:rsid w:val="00BA3877"/>
    <w:rsid w:val="00BB07D9"/>
    <w:rsid w:val="00BC2260"/>
    <w:rsid w:val="00BC4E58"/>
    <w:rsid w:val="00BD320A"/>
    <w:rsid w:val="00BD4099"/>
    <w:rsid w:val="00BE2533"/>
    <w:rsid w:val="00BE79B0"/>
    <w:rsid w:val="00BF232B"/>
    <w:rsid w:val="00BF6DCC"/>
    <w:rsid w:val="00C01C5A"/>
    <w:rsid w:val="00C064FB"/>
    <w:rsid w:val="00C166AA"/>
    <w:rsid w:val="00C1684A"/>
    <w:rsid w:val="00C16986"/>
    <w:rsid w:val="00C337FD"/>
    <w:rsid w:val="00C33A95"/>
    <w:rsid w:val="00C33E45"/>
    <w:rsid w:val="00C40805"/>
    <w:rsid w:val="00C51E2F"/>
    <w:rsid w:val="00C51E98"/>
    <w:rsid w:val="00C523AD"/>
    <w:rsid w:val="00C52C6C"/>
    <w:rsid w:val="00C722D6"/>
    <w:rsid w:val="00C84F03"/>
    <w:rsid w:val="00C865C9"/>
    <w:rsid w:val="00C90441"/>
    <w:rsid w:val="00C924A8"/>
    <w:rsid w:val="00CA1AA4"/>
    <w:rsid w:val="00CD6671"/>
    <w:rsid w:val="00CE2C5B"/>
    <w:rsid w:val="00CE2FC7"/>
    <w:rsid w:val="00CE3FB7"/>
    <w:rsid w:val="00D02513"/>
    <w:rsid w:val="00D07680"/>
    <w:rsid w:val="00D1509A"/>
    <w:rsid w:val="00D151EE"/>
    <w:rsid w:val="00D23007"/>
    <w:rsid w:val="00D23715"/>
    <w:rsid w:val="00D25AE0"/>
    <w:rsid w:val="00D268B1"/>
    <w:rsid w:val="00D42E35"/>
    <w:rsid w:val="00D500E6"/>
    <w:rsid w:val="00D5161F"/>
    <w:rsid w:val="00D54E6D"/>
    <w:rsid w:val="00D62D58"/>
    <w:rsid w:val="00D64878"/>
    <w:rsid w:val="00D65875"/>
    <w:rsid w:val="00D6738B"/>
    <w:rsid w:val="00D82953"/>
    <w:rsid w:val="00D86CED"/>
    <w:rsid w:val="00D93C0B"/>
    <w:rsid w:val="00D96520"/>
    <w:rsid w:val="00D96809"/>
    <w:rsid w:val="00D96C17"/>
    <w:rsid w:val="00D97A3C"/>
    <w:rsid w:val="00D97A99"/>
    <w:rsid w:val="00D97ECE"/>
    <w:rsid w:val="00DC151D"/>
    <w:rsid w:val="00DC447D"/>
    <w:rsid w:val="00DE36F3"/>
    <w:rsid w:val="00DE7019"/>
    <w:rsid w:val="00DF618E"/>
    <w:rsid w:val="00E03206"/>
    <w:rsid w:val="00E116A6"/>
    <w:rsid w:val="00E14421"/>
    <w:rsid w:val="00E22CD5"/>
    <w:rsid w:val="00E2685F"/>
    <w:rsid w:val="00E2763B"/>
    <w:rsid w:val="00E30639"/>
    <w:rsid w:val="00E3490D"/>
    <w:rsid w:val="00E46096"/>
    <w:rsid w:val="00E470A5"/>
    <w:rsid w:val="00E56F0C"/>
    <w:rsid w:val="00E61F57"/>
    <w:rsid w:val="00E630D0"/>
    <w:rsid w:val="00E650DF"/>
    <w:rsid w:val="00E65185"/>
    <w:rsid w:val="00E72ABA"/>
    <w:rsid w:val="00E80FD7"/>
    <w:rsid w:val="00E85BD9"/>
    <w:rsid w:val="00E8688F"/>
    <w:rsid w:val="00E9703F"/>
    <w:rsid w:val="00E97450"/>
    <w:rsid w:val="00EA205E"/>
    <w:rsid w:val="00EA33BB"/>
    <w:rsid w:val="00EA387D"/>
    <w:rsid w:val="00EB0E9E"/>
    <w:rsid w:val="00EB26B7"/>
    <w:rsid w:val="00EB299F"/>
    <w:rsid w:val="00EB412D"/>
    <w:rsid w:val="00EB5564"/>
    <w:rsid w:val="00EB7AAF"/>
    <w:rsid w:val="00ED0D2C"/>
    <w:rsid w:val="00ED626A"/>
    <w:rsid w:val="00ED7D79"/>
    <w:rsid w:val="00EF1675"/>
    <w:rsid w:val="00F04DF2"/>
    <w:rsid w:val="00F11748"/>
    <w:rsid w:val="00F21C89"/>
    <w:rsid w:val="00F3453B"/>
    <w:rsid w:val="00F4143C"/>
    <w:rsid w:val="00F46300"/>
    <w:rsid w:val="00F50B76"/>
    <w:rsid w:val="00F540F3"/>
    <w:rsid w:val="00F60806"/>
    <w:rsid w:val="00F6195D"/>
    <w:rsid w:val="00F62F1D"/>
    <w:rsid w:val="00F75949"/>
    <w:rsid w:val="00F7637C"/>
    <w:rsid w:val="00F82770"/>
    <w:rsid w:val="00F959D4"/>
    <w:rsid w:val="00FA6655"/>
    <w:rsid w:val="00FB2A1C"/>
    <w:rsid w:val="00FB316B"/>
    <w:rsid w:val="00FB4035"/>
    <w:rsid w:val="00FC2961"/>
    <w:rsid w:val="00FD4AB3"/>
    <w:rsid w:val="00FE1FB4"/>
    <w:rsid w:val="00FF3B40"/>
    <w:rsid w:val="00FF7425"/>
    <w:rsid w:val="02ED4E5F"/>
    <w:rsid w:val="032F59DA"/>
    <w:rsid w:val="08637A04"/>
    <w:rsid w:val="0EF47445"/>
    <w:rsid w:val="11893BFF"/>
    <w:rsid w:val="168A0A08"/>
    <w:rsid w:val="16B13D23"/>
    <w:rsid w:val="18E36BCF"/>
    <w:rsid w:val="19665559"/>
    <w:rsid w:val="21BD3B99"/>
    <w:rsid w:val="2BB146AB"/>
    <w:rsid w:val="33762278"/>
    <w:rsid w:val="38FF544A"/>
    <w:rsid w:val="3A686A18"/>
    <w:rsid w:val="3AC469D7"/>
    <w:rsid w:val="3C535F2A"/>
    <w:rsid w:val="3CB22985"/>
    <w:rsid w:val="4021385F"/>
    <w:rsid w:val="42E379CC"/>
    <w:rsid w:val="439738F5"/>
    <w:rsid w:val="43F445EB"/>
    <w:rsid w:val="54BC0103"/>
    <w:rsid w:val="56DF6F22"/>
    <w:rsid w:val="578539EB"/>
    <w:rsid w:val="59157417"/>
    <w:rsid w:val="5B120206"/>
    <w:rsid w:val="5E904D61"/>
    <w:rsid w:val="606B18B8"/>
    <w:rsid w:val="76306772"/>
    <w:rsid w:val="77A07088"/>
    <w:rsid w:val="7AC74360"/>
    <w:rsid w:val="7E850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keepLines/>
      <w:spacing w:before="340" w:after="330" w:line="576" w:lineRule="auto"/>
      <w:outlineLvl w:val="0"/>
    </w:pPr>
    <w:rPr>
      <w:b/>
      <w:kern w:val="44"/>
      <w:sz w:val="44"/>
      <w:szCs w:val="20"/>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sz w:val="28"/>
      <w:szCs w:val="20"/>
    </w:rPr>
  </w:style>
  <w:style w:type="paragraph" w:styleId="6">
    <w:name w:val="Normal Indent"/>
    <w:basedOn w:val="1"/>
    <w:unhideWhenUsed/>
    <w:qFormat/>
    <w:uiPriority w:val="99"/>
    <w:pPr>
      <w:spacing w:line="600" w:lineRule="exact"/>
      <w:ind w:firstLine="200" w:firstLineChars="200"/>
    </w:pPr>
    <w:rPr>
      <w:szCs w:val="21"/>
    </w:rPr>
  </w:style>
  <w:style w:type="paragraph" w:styleId="7">
    <w:name w:val="annotation text"/>
    <w:basedOn w:val="1"/>
    <w:link w:val="25"/>
    <w:qFormat/>
    <w:uiPriority w:val="0"/>
    <w:pPr>
      <w:jc w:val="left"/>
    </w:pPr>
    <w:rPr>
      <w:rFonts w:eastAsia="仿宋_GB2312"/>
      <w:sz w:val="30"/>
      <w:szCs w:val="20"/>
    </w:rPr>
  </w:style>
  <w:style w:type="paragraph" w:styleId="8">
    <w:name w:val="Body Text Indent"/>
    <w:basedOn w:val="1"/>
    <w:next w:val="9"/>
    <w:qFormat/>
    <w:uiPriority w:val="0"/>
    <w:pPr>
      <w:spacing w:line="400" w:lineRule="exact"/>
      <w:ind w:left="630"/>
    </w:pPr>
    <w:rPr>
      <w:rFonts w:ascii="楷体_GB2312"/>
    </w:rPr>
  </w:style>
  <w:style w:type="paragraph" w:styleId="9">
    <w:name w:val="envelope return"/>
    <w:basedOn w:val="1"/>
    <w:qFormat/>
    <w:uiPriority w:val="0"/>
    <w:pPr>
      <w:snapToGrid w:val="0"/>
    </w:pPr>
    <w:rPr>
      <w:rFonts w:ascii="Arial" w:hAnsi="Arial"/>
    </w:rPr>
  </w:style>
  <w:style w:type="paragraph" w:styleId="10">
    <w:name w:val="Date"/>
    <w:basedOn w:val="1"/>
    <w:next w:val="1"/>
    <w:qFormat/>
    <w:uiPriority w:val="0"/>
    <w:pPr>
      <w:ind w:left="100" w:leftChars="2500"/>
    </w:p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qFormat/>
    <w:uiPriority w:val="0"/>
    <w:pPr>
      <w:spacing w:before="240" w:after="60" w:line="312" w:lineRule="auto"/>
      <w:jc w:val="center"/>
      <w:outlineLvl w:val="1"/>
    </w:pPr>
    <w:rPr>
      <w:rFonts w:ascii="Cambria" w:hAnsi="Cambria"/>
      <w:b/>
      <w:kern w:val="28"/>
      <w:sz w:val="32"/>
      <w:szCs w:val="20"/>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Body Text First Indent 2"/>
    <w:basedOn w:val="8"/>
    <w:next w:val="1"/>
    <w:qFormat/>
    <w:uiPriority w:val="0"/>
    <w:pPr>
      <w:spacing w:line="240" w:lineRule="auto"/>
      <w:ind w:left="200" w:leftChars="200" w:firstLine="200" w:firstLine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semiHidden/>
    <w:unhideWhenUsed/>
    <w:qFormat/>
    <w:uiPriority w:val="0"/>
    <w:rPr>
      <w:color w:val="444444"/>
      <w:sz w:val="16"/>
      <w:szCs w:val="16"/>
      <w:u w:val="none"/>
    </w:rPr>
  </w:style>
  <w:style w:type="character" w:styleId="21">
    <w:name w:val="Hyperlink"/>
    <w:basedOn w:val="19"/>
    <w:qFormat/>
    <w:uiPriority w:val="0"/>
    <w:rPr>
      <w:color w:val="444444"/>
      <w:sz w:val="16"/>
      <w:szCs w:val="16"/>
      <w:u w:val="none"/>
    </w:rPr>
  </w:style>
  <w:style w:type="paragraph" w:customStyle="1" w:styleId="22">
    <w:name w:val="Default"/>
    <w:next w:val="2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
    <w:name w:val="大标题"/>
    <w:basedOn w:val="1"/>
    <w:next w:val="16"/>
    <w:qFormat/>
    <w:uiPriority w:val="0"/>
    <w:pPr>
      <w:jc w:val="center"/>
    </w:pPr>
    <w:rPr>
      <w:rFonts w:ascii="Arial" w:hAnsi="Arial"/>
      <w:b/>
      <w:sz w:val="28"/>
    </w:rPr>
  </w:style>
  <w:style w:type="character" w:customStyle="1" w:styleId="24">
    <w:name w:val="标题 1 Char"/>
    <w:basedOn w:val="19"/>
    <w:link w:val="3"/>
    <w:qFormat/>
    <w:locked/>
    <w:uiPriority w:val="0"/>
    <w:rPr>
      <w:rFonts w:eastAsia="宋体"/>
      <w:b/>
      <w:kern w:val="44"/>
      <w:sz w:val="44"/>
      <w:lang w:val="en-US" w:eastAsia="zh-CN" w:bidi="ar-SA"/>
    </w:rPr>
  </w:style>
  <w:style w:type="character" w:customStyle="1" w:styleId="25">
    <w:name w:val="批注文字 Char"/>
    <w:basedOn w:val="19"/>
    <w:link w:val="7"/>
    <w:qFormat/>
    <w:uiPriority w:val="0"/>
    <w:rPr>
      <w:rFonts w:eastAsia="仿宋_GB2312"/>
      <w:kern w:val="2"/>
      <w:sz w:val="30"/>
      <w:lang w:bidi="ar-SA"/>
    </w:rPr>
  </w:style>
  <w:style w:type="paragraph" w:customStyle="1" w:styleId="26">
    <w:name w:val="正文1"/>
    <w:basedOn w:val="1"/>
    <w:qFormat/>
    <w:uiPriority w:val="0"/>
    <w:pPr>
      <w:snapToGrid w:val="0"/>
      <w:spacing w:line="500" w:lineRule="atLeast"/>
      <w:ind w:firstLine="539"/>
    </w:pPr>
    <w:rPr>
      <w:rFonts w:ascii="宋体" w:hAnsi="Arial Narrow"/>
      <w:spacing w:val="14"/>
      <w:sz w:val="24"/>
      <w:szCs w:val="20"/>
    </w:rPr>
  </w:style>
  <w:style w:type="paragraph" w:customStyle="1" w:styleId="27">
    <w:name w:val="章标题"/>
    <w:basedOn w:val="3"/>
    <w:qFormat/>
    <w:uiPriority w:val="0"/>
    <w:pPr>
      <w:keepNext w:val="0"/>
      <w:keepLines w:val="0"/>
      <w:numPr>
        <w:ilvl w:val="0"/>
        <w:numId w:val="1"/>
      </w:numPr>
      <w:adjustRightInd w:val="0"/>
      <w:snapToGrid w:val="0"/>
      <w:spacing w:before="120" w:after="120" w:line="360" w:lineRule="auto"/>
      <w:jc w:val="center"/>
    </w:pPr>
    <w:rPr>
      <w:rFonts w:ascii="宋体"/>
      <w:bCs/>
      <w:sz w:val="32"/>
      <w:szCs w:val="32"/>
    </w:rPr>
  </w:style>
  <w:style w:type="paragraph" w:customStyle="1" w:styleId="28">
    <w:name w:val="一级标题"/>
    <w:basedOn w:val="4"/>
    <w:qFormat/>
    <w:uiPriority w:val="0"/>
    <w:pPr>
      <w:keepNext w:val="0"/>
      <w:keepLines w:val="0"/>
      <w:numPr>
        <w:ilvl w:val="1"/>
        <w:numId w:val="1"/>
      </w:numPr>
      <w:adjustRightInd w:val="0"/>
      <w:snapToGrid w:val="0"/>
      <w:spacing w:before="240" w:after="240" w:line="360" w:lineRule="auto"/>
      <w:jc w:val="left"/>
    </w:pPr>
    <w:rPr>
      <w:rFonts w:ascii="宋体" w:eastAsia="宋体"/>
      <w:snapToGrid w:val="0"/>
      <w:kern w:val="0"/>
      <w:sz w:val="24"/>
      <w:szCs w:val="24"/>
    </w:rPr>
  </w:style>
  <w:style w:type="paragraph" w:styleId="29">
    <w:name w:val="List Paragraph"/>
    <w:basedOn w:val="1"/>
    <w:qFormat/>
    <w:uiPriority w:val="34"/>
    <w:pPr>
      <w:ind w:firstLine="420" w:firstLineChars="200"/>
    </w:pPr>
  </w:style>
  <w:style w:type="character" w:customStyle="1" w:styleId="30">
    <w:name w:val="hover16"/>
    <w:basedOn w:val="19"/>
    <w:qFormat/>
    <w:uiPriority w:val="0"/>
  </w:style>
  <w:style w:type="character" w:customStyle="1" w:styleId="31">
    <w:name w:val="hover15"/>
    <w:basedOn w:val="19"/>
    <w:qFormat/>
    <w:uiPriority w:val="0"/>
  </w:style>
  <w:style w:type="paragraph" w:customStyle="1" w:styleId="32">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364</Words>
  <Characters>2075</Characters>
  <Lines>17</Lines>
  <Paragraphs>4</Paragraphs>
  <TotalTime>51</TotalTime>
  <ScaleCrop>false</ScaleCrop>
  <LinksUpToDate>false</LinksUpToDate>
  <CharactersWithSpaces>2435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2020-06-19T08:59:00Z</dcterms:created>
  <dc:creator>微软用户</dc:creator>
  <cp:lastModifiedBy>Administrator</cp:lastModifiedBy>
  <cp:lastPrinted>2019-08-07T01:45:00Z</cp:lastPrinted>
  <dcterms:modified xsi:type="dcterms:W3CDTF">2020-06-21T22:32:00Z</dcterms:modified>
  <dc:title>询价邀请函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