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仿宋" w:hAnsi="仿宋" w:eastAsia="仿宋" w:cs="仿宋"/>
          <w:b/>
          <w:sz w:val="32"/>
          <w:szCs w:val="32"/>
        </w:rPr>
      </w:pPr>
      <w:r>
        <w:rPr>
          <w:rFonts w:hint="eastAsia" w:ascii="仿宋" w:hAnsi="仿宋" w:eastAsia="仿宋" w:cs="仿宋"/>
          <w:b/>
          <w:sz w:val="32"/>
          <w:szCs w:val="32"/>
        </w:rPr>
        <w:t>洛阳市公路管理局城郊分局</w:t>
      </w:r>
    </w:p>
    <w:p>
      <w:pPr>
        <w:spacing w:before="156" w:beforeLines="50" w:after="156" w:afterLines="50" w:line="500" w:lineRule="exact"/>
        <w:jc w:val="center"/>
        <w:rPr>
          <w:rFonts w:asciiTheme="majorEastAsia" w:hAnsiTheme="majorEastAsia" w:eastAsiaTheme="majorEastAsia"/>
          <w:b/>
          <w:sz w:val="32"/>
          <w:szCs w:val="32"/>
        </w:rPr>
      </w:pPr>
      <w:r>
        <w:rPr>
          <w:rFonts w:hint="eastAsia" w:ascii="仿宋" w:hAnsi="仿宋" w:eastAsia="仿宋" w:cs="仿宋"/>
          <w:b/>
          <w:sz w:val="32"/>
          <w:szCs w:val="32"/>
        </w:rPr>
        <w:t>关于往来款项长期挂账的清理审计询价公告</w:t>
      </w:r>
    </w:p>
    <w:p>
      <w:pPr>
        <w:spacing w:before="156" w:beforeLines="50" w:after="156" w:afterLines="50"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依据相关规定，洛阳市公路管理局城郊分局拟对往来款项长期挂账的清理审计进行询价，欢迎符合条件的单位前来参加。现将有关事宜公告如下：</w:t>
      </w:r>
    </w:p>
    <w:p>
      <w:pPr>
        <w:pStyle w:val="15"/>
        <w:numPr>
          <w:ilvl w:val="0"/>
          <w:numId w:val="2"/>
        </w:numPr>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询价采购项目概况</w:t>
      </w:r>
    </w:p>
    <w:p>
      <w:pPr>
        <w:pStyle w:val="6"/>
        <w:spacing w:line="540" w:lineRule="exact"/>
        <w:ind w:firstLine="560"/>
        <w:rPr>
          <w:rFonts w:ascii="仿宋" w:hAnsi="仿宋" w:eastAsia="仿宋" w:cs="宋体"/>
          <w:kern w:val="0"/>
          <w:sz w:val="28"/>
          <w:szCs w:val="28"/>
        </w:rPr>
      </w:pPr>
      <w:r>
        <w:rPr>
          <w:rFonts w:hint="eastAsia" w:ascii="仿宋" w:hAnsi="仿宋" w:eastAsia="仿宋"/>
          <w:sz w:val="28"/>
          <w:szCs w:val="28"/>
        </w:rPr>
        <w:t>本项目为</w:t>
      </w:r>
      <w:r>
        <w:rPr>
          <w:rFonts w:hint="eastAsia" w:ascii="仿宋" w:hAnsi="仿宋" w:eastAsia="仿宋" w:cs="宋体"/>
          <w:kern w:val="0"/>
          <w:sz w:val="28"/>
          <w:szCs w:val="28"/>
        </w:rPr>
        <w:t>洛阳市公路管理局城郊分局</w:t>
      </w:r>
      <w:r>
        <w:rPr>
          <w:rFonts w:hint="eastAsia" w:ascii="仿宋" w:hAnsi="仿宋" w:eastAsia="仿宋"/>
          <w:sz w:val="28"/>
          <w:szCs w:val="28"/>
        </w:rPr>
        <w:t>拟对</w:t>
      </w:r>
      <w:r>
        <w:rPr>
          <w:rFonts w:hint="eastAsia" w:ascii="仿宋" w:hAnsi="仿宋" w:eastAsia="仿宋" w:cs="宋体"/>
          <w:kern w:val="0"/>
          <w:sz w:val="28"/>
          <w:szCs w:val="28"/>
        </w:rPr>
        <w:t>往来款项长期挂账的清理审计。需清理挂账包括工程长期不做竣工决算造成往来款项长期挂账余额约380万元，涉及21个项目；未及时清理核对造成单位长期挂账余额4920万元，涉及76个单位。</w:t>
      </w:r>
    </w:p>
    <w:p>
      <w:pPr>
        <w:ind w:firstLine="560" w:firstLineChars="200"/>
        <w:jc w:val="left"/>
        <w:rPr>
          <w:rFonts w:ascii="仿宋" w:hAnsi="仿宋" w:eastAsia="仿宋"/>
          <w:sz w:val="30"/>
          <w:szCs w:val="30"/>
        </w:rPr>
      </w:pPr>
      <w:r>
        <w:rPr>
          <w:rFonts w:hint="eastAsia" w:ascii="仿宋" w:hAnsi="仿宋" w:eastAsia="仿宋" w:cs="宋体"/>
          <w:kern w:val="0"/>
          <w:sz w:val="28"/>
          <w:szCs w:val="28"/>
        </w:rPr>
        <w:t>询价范围：需清理挂账项目的审计，</w:t>
      </w:r>
      <w:r>
        <w:rPr>
          <w:rFonts w:hint="eastAsia" w:ascii="仿宋" w:hAnsi="仿宋" w:eastAsia="仿宋"/>
          <w:sz w:val="30"/>
          <w:szCs w:val="30"/>
        </w:rPr>
        <w:t>具体项目以委托方实际委托内容为准。</w:t>
      </w:r>
    </w:p>
    <w:p>
      <w:pPr>
        <w:pStyle w:val="15"/>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招标控制价：185000元。</w:t>
      </w:r>
    </w:p>
    <w:p>
      <w:pPr>
        <w:pStyle w:val="15"/>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服务期：2020年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日出具审计报告。</w:t>
      </w:r>
    </w:p>
    <w:p>
      <w:pPr>
        <w:numPr>
          <w:ilvl w:val="0"/>
          <w:numId w:val="3"/>
        </w:num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报价人资格条件：</w:t>
      </w:r>
    </w:p>
    <w:p>
      <w:p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1.投标人应具有法人资格，持有《营业执照》，经营范围应满足本项目需求；</w:t>
      </w:r>
    </w:p>
    <w:p>
      <w:p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2.投标人应具有财政部门颁发的会计师事务所执业证书；</w:t>
      </w:r>
    </w:p>
    <w:p>
      <w:p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3.投标人 2019年被省级注册会计师协会评价为 A 类会计师事务所；</w:t>
      </w:r>
    </w:p>
    <w:p>
      <w:pPr>
        <w:ind w:firstLine="560" w:firstLineChars="200"/>
        <w:jc w:val="left"/>
      </w:pPr>
      <w:r>
        <w:rPr>
          <w:rFonts w:hint="eastAsia" w:ascii="仿宋" w:hAnsi="仿宋" w:eastAsia="仿宋" w:cs="宋体"/>
          <w:kern w:val="0"/>
          <w:sz w:val="28"/>
          <w:szCs w:val="28"/>
        </w:rPr>
        <w:t>4.投标人具有注册会计师人数不少于20人；</w:t>
      </w:r>
    </w:p>
    <w:p>
      <w:p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投标人拟派项目负责人须具有财政部门颁发的注册会计师证书、高级职称，与本单位签订劳动合同，并提供在本单位近六个月（2019年11月至2020年4月）中本单位为其连续缴纳三个月份的社保证明（以加盖社保中心印章的社保明细或加盖企业电子章的社保网页截图为准）；依法不需要缴纳社保的，应提供相应文件证明。</w:t>
      </w:r>
    </w:p>
    <w:p>
      <w:p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根据《财政部关于在政府采购活动中查询及使用信用记录有关问题的通知》（财库〔2016〕125号）和《河南省财政厅关于转发财政部关于在政府采购活动中查询及使用信用记录有关问题的通知》（豫财库〔2016〕15号）被列入信用中国网站（http://www.creditchina.gov.cn/）“失信被执行人”的，中国政府采购网(http://www.ccgp.gov.cn/)“政府采购严重违法失信行为记录名单”的（指政府采购行政处罚有效期内），被列入中国执行信息公开网（http://zxgk.court.gov.cn/，也即全国法院失信被执行人名单信息公布与查询网）“失信被执行人”的、被列入国家税务总局网站（http://www.chinatax.gov.cn/）——“重大案件查询”栏目“重大税收违法案件信息公布栏”中有重大税收违法行为的投标人将被拒绝参加投标。（需提供查询网页打印件并加盖公章，查询日期须为公告发出之后）；</w:t>
      </w:r>
    </w:p>
    <w:p>
      <w:pPr>
        <w:ind w:firstLine="560" w:firstLineChars="200"/>
        <w:jc w:val="left"/>
        <w:rPr>
          <w:rFonts w:ascii="仿宋" w:hAnsi="仿宋" w:eastAsia="仿宋" w:cs="宋体"/>
          <w:kern w:val="0"/>
          <w:sz w:val="28"/>
          <w:szCs w:val="28"/>
          <w:highlight w:val="red"/>
        </w:rPr>
      </w:pPr>
      <w:r>
        <w:rPr>
          <w:rFonts w:hint="eastAsia" w:ascii="仿宋" w:hAnsi="仿宋" w:eastAsia="仿宋" w:cs="宋体"/>
          <w:kern w:val="0"/>
          <w:sz w:val="28"/>
          <w:szCs w:val="28"/>
        </w:rPr>
        <w:t xml:space="preserve">7.本项目实行资格后审。 </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三、报名时间</w:t>
      </w:r>
    </w:p>
    <w:p>
      <w:pPr>
        <w:pStyle w:val="15"/>
        <w:spacing w:before="0" w:beforeAutospacing="0" w:after="0" w:afterAutospacing="0" w:line="432" w:lineRule="auto"/>
        <w:rPr>
          <w:rFonts w:ascii="仿宋" w:hAnsi="仿宋" w:eastAsia="仿宋"/>
          <w:sz w:val="28"/>
          <w:szCs w:val="28"/>
        </w:rPr>
      </w:pPr>
      <w:r>
        <w:rPr>
          <w:rFonts w:hint="eastAsia" w:ascii="仿宋" w:hAnsi="仿宋" w:eastAsia="仿宋"/>
          <w:sz w:val="28"/>
          <w:szCs w:val="28"/>
        </w:rPr>
        <w:t xml:space="preserve">   凡有意参加询价者，请于2020 年6月22日至2020年6月24日</w:t>
      </w:r>
      <w:r>
        <w:rPr>
          <w:rFonts w:hint="eastAsia" w:ascii="仿宋" w:hAnsi="仿宋" w:eastAsia="仿宋" w:cs="宋体"/>
          <w:kern w:val="0"/>
          <w:sz w:val="28"/>
          <w:szCs w:val="28"/>
        </w:rPr>
        <w:t>下午</w:t>
      </w:r>
      <w:r>
        <w:rPr>
          <w:rFonts w:ascii="仿宋" w:hAnsi="仿宋" w:eastAsia="仿宋" w:cs="宋体"/>
          <w:kern w:val="0"/>
          <w:sz w:val="28"/>
          <w:szCs w:val="28"/>
        </w:rPr>
        <w:t>3</w:t>
      </w:r>
      <w:r>
        <w:rPr>
          <w:rFonts w:hint="eastAsia" w:ascii="仿宋" w:hAnsi="仿宋" w:eastAsia="仿宋" w:cs="宋体"/>
          <w:kern w:val="0"/>
          <w:sz w:val="28"/>
          <w:szCs w:val="28"/>
        </w:rPr>
        <w:t>:30</w:t>
      </w:r>
      <w:r>
        <w:rPr>
          <w:rFonts w:hint="eastAsia" w:ascii="仿宋" w:hAnsi="仿宋" w:eastAsia="仿宋"/>
          <w:sz w:val="28"/>
          <w:szCs w:val="28"/>
        </w:rPr>
        <w:t>，将报价人资格条件中要求的相关证明资料扫描件发送至</w:t>
      </w:r>
      <w:r>
        <w:rPr>
          <w:rFonts w:hint="eastAsia" w:ascii="仿宋" w:hAnsi="仿宋" w:eastAsia="仿宋"/>
          <w:sz w:val="28"/>
          <w:szCs w:val="28"/>
          <w:lang w:val="en-US" w:eastAsia="zh-CN"/>
        </w:rPr>
        <w:t>chengjiaogonglu@126.com</w:t>
      </w:r>
      <w:r>
        <w:rPr>
          <w:rFonts w:hint="eastAsia" w:ascii="仿宋" w:hAnsi="仿宋" w:eastAsia="仿宋"/>
          <w:sz w:val="28"/>
          <w:szCs w:val="28"/>
        </w:rPr>
        <w:t>进行报名。</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四、通过报名审核</w:t>
      </w:r>
      <w:r>
        <w:rPr>
          <w:rFonts w:ascii="仿宋" w:hAnsi="仿宋" w:eastAsia="仿宋" w:cs="宋体"/>
          <w:kern w:val="0"/>
          <w:sz w:val="28"/>
          <w:szCs w:val="28"/>
        </w:rPr>
        <w:t>的</w:t>
      </w:r>
      <w:r>
        <w:rPr>
          <w:rFonts w:hint="eastAsia" w:ascii="仿宋" w:hAnsi="仿宋" w:eastAsia="仿宋" w:cs="宋体"/>
          <w:kern w:val="0"/>
          <w:sz w:val="28"/>
          <w:szCs w:val="28"/>
        </w:rPr>
        <w:t>供应商</w:t>
      </w:r>
      <w:r>
        <w:rPr>
          <w:rFonts w:ascii="仿宋" w:hAnsi="仿宋" w:eastAsia="仿宋" w:cs="宋体"/>
          <w:kern w:val="0"/>
          <w:sz w:val="28"/>
          <w:szCs w:val="28"/>
        </w:rPr>
        <w:t>持</w:t>
      </w:r>
      <w:r>
        <w:rPr>
          <w:rFonts w:hint="eastAsia" w:ascii="仿宋" w:hAnsi="仿宋" w:eastAsia="仿宋"/>
          <w:sz w:val="28"/>
          <w:szCs w:val="28"/>
        </w:rPr>
        <w:t>法人营业执照</w:t>
      </w:r>
      <w:r>
        <w:rPr>
          <w:rFonts w:ascii="仿宋" w:hAnsi="仿宋" w:eastAsia="仿宋"/>
          <w:sz w:val="28"/>
          <w:szCs w:val="28"/>
        </w:rPr>
        <w:t>、</w:t>
      </w:r>
      <w:r>
        <w:rPr>
          <w:rFonts w:hint="eastAsia" w:ascii="仿宋" w:hAnsi="仿宋" w:eastAsia="仿宋"/>
          <w:sz w:val="28"/>
          <w:szCs w:val="28"/>
        </w:rPr>
        <w:t>税务登记</w:t>
      </w:r>
      <w:r>
        <w:rPr>
          <w:rFonts w:ascii="仿宋" w:hAnsi="仿宋" w:eastAsia="仿宋"/>
          <w:sz w:val="28"/>
          <w:szCs w:val="28"/>
        </w:rPr>
        <w:t>、组织机构代码证（</w:t>
      </w:r>
      <w:r>
        <w:rPr>
          <w:rFonts w:hint="eastAsia" w:ascii="仿宋" w:hAnsi="仿宋" w:eastAsia="仿宋"/>
          <w:sz w:val="28"/>
          <w:szCs w:val="28"/>
        </w:rPr>
        <w:t>或三证</w:t>
      </w:r>
      <w:r>
        <w:rPr>
          <w:rFonts w:ascii="仿宋" w:hAnsi="仿宋" w:eastAsia="仿宋"/>
          <w:sz w:val="28"/>
          <w:szCs w:val="28"/>
        </w:rPr>
        <w:t>合一）</w:t>
      </w:r>
      <w:r>
        <w:rPr>
          <w:rFonts w:hint="eastAsia" w:ascii="仿宋" w:hAnsi="仿宋" w:eastAsia="仿宋" w:cs="宋体"/>
          <w:kern w:val="0"/>
          <w:sz w:val="28"/>
          <w:szCs w:val="28"/>
        </w:rPr>
        <w:t>复印件（加盖</w:t>
      </w:r>
      <w:r>
        <w:rPr>
          <w:rFonts w:ascii="仿宋" w:hAnsi="仿宋" w:eastAsia="仿宋" w:cs="宋体"/>
          <w:kern w:val="0"/>
          <w:sz w:val="28"/>
          <w:szCs w:val="28"/>
        </w:rPr>
        <w:t>公章</w:t>
      </w:r>
      <w:r>
        <w:rPr>
          <w:rFonts w:hint="eastAsia" w:ascii="仿宋" w:hAnsi="仿宋" w:eastAsia="仿宋" w:cs="宋体"/>
          <w:kern w:val="0"/>
          <w:sz w:val="28"/>
          <w:szCs w:val="28"/>
        </w:rPr>
        <w:t>）</w:t>
      </w:r>
      <w:r>
        <w:rPr>
          <w:rFonts w:hint="eastAsia" w:ascii="仿宋" w:hAnsi="仿宋" w:eastAsia="仿宋"/>
          <w:sz w:val="28"/>
          <w:szCs w:val="28"/>
        </w:rPr>
        <w:t>、相关</w:t>
      </w:r>
      <w:r>
        <w:rPr>
          <w:rFonts w:hint="eastAsia" w:ascii="仿宋" w:hAnsi="仿宋" w:eastAsia="仿宋" w:cs="宋体"/>
          <w:kern w:val="0"/>
          <w:sz w:val="28"/>
          <w:szCs w:val="28"/>
        </w:rPr>
        <w:t>资质证明复印件（加盖</w:t>
      </w:r>
      <w:r>
        <w:rPr>
          <w:rFonts w:ascii="仿宋" w:hAnsi="仿宋" w:eastAsia="仿宋" w:cs="宋体"/>
          <w:kern w:val="0"/>
          <w:sz w:val="28"/>
          <w:szCs w:val="28"/>
        </w:rPr>
        <w:t>公章</w:t>
      </w:r>
      <w:r>
        <w:rPr>
          <w:rFonts w:hint="eastAsia" w:ascii="仿宋" w:hAnsi="仿宋" w:eastAsia="仿宋" w:cs="宋体"/>
          <w:kern w:val="0"/>
          <w:sz w:val="28"/>
          <w:szCs w:val="28"/>
        </w:rPr>
        <w:t>）、授权委托书原件、经办人身份证复印件（加盖</w:t>
      </w:r>
      <w:r>
        <w:rPr>
          <w:rFonts w:ascii="仿宋" w:hAnsi="仿宋" w:eastAsia="仿宋" w:cs="宋体"/>
          <w:kern w:val="0"/>
          <w:sz w:val="28"/>
          <w:szCs w:val="28"/>
        </w:rPr>
        <w:t>公章</w:t>
      </w:r>
      <w:r>
        <w:rPr>
          <w:rFonts w:hint="eastAsia" w:ascii="仿宋" w:hAnsi="仿宋" w:eastAsia="仿宋" w:cs="宋体"/>
          <w:kern w:val="0"/>
          <w:sz w:val="28"/>
          <w:szCs w:val="28"/>
        </w:rPr>
        <w:t>）、报价表及其他</w:t>
      </w:r>
      <w:r>
        <w:rPr>
          <w:rFonts w:hint="eastAsia" w:ascii="仿宋" w:hAnsi="仿宋" w:eastAsia="仿宋"/>
          <w:sz w:val="28"/>
          <w:szCs w:val="28"/>
        </w:rPr>
        <w:t>报价人资格条件中要求的相关证明资料</w:t>
      </w:r>
      <w:r>
        <w:rPr>
          <w:rFonts w:hint="eastAsia" w:ascii="仿宋" w:hAnsi="仿宋" w:eastAsia="仿宋" w:cs="宋体"/>
          <w:kern w:val="0"/>
          <w:sz w:val="28"/>
          <w:szCs w:val="28"/>
        </w:rPr>
        <w:t>参与报价。</w:t>
      </w:r>
    </w:p>
    <w:p>
      <w:pPr>
        <w:pStyle w:val="2"/>
        <w:spacing w:line="360" w:lineRule="auto"/>
        <w:ind w:firstLine="548" w:firstLineChars="196"/>
        <w:jc w:val="left"/>
        <w:rPr>
          <w:rFonts w:ascii="仿宋" w:hAnsi="仿宋" w:eastAsia="仿宋" w:cs="宋体"/>
          <w:b/>
          <w:color w:val="FF0000"/>
          <w:kern w:val="0"/>
          <w:szCs w:val="28"/>
          <w:highlight w:val="yellow"/>
        </w:rPr>
      </w:pPr>
      <w:r>
        <w:rPr>
          <w:rFonts w:hint="eastAsia" w:ascii="仿宋" w:hAnsi="仿宋" w:eastAsia="仿宋" w:cs="宋体"/>
          <w:kern w:val="0"/>
          <w:szCs w:val="28"/>
        </w:rPr>
        <w:t>五、报价要求格式将在洛阳市公路事业发展中心网站（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六、报价截止时间和地点：2020年6月24日下午</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0</w:t>
      </w:r>
      <w:r>
        <w:rPr>
          <w:rFonts w:hint="eastAsia" w:ascii="仿宋" w:hAnsi="仿宋" w:eastAsia="仿宋" w:cs="宋体"/>
          <w:kern w:val="0"/>
          <w:sz w:val="28"/>
          <w:szCs w:val="28"/>
        </w:rPr>
        <w:t>0，洛</w:t>
      </w:r>
      <w:r>
        <w:rPr>
          <w:rFonts w:hint="eastAsia" w:ascii="仿宋" w:hAnsi="仿宋" w:eastAsia="仿宋" w:cs="宋体"/>
          <w:color w:val="000000"/>
          <w:kern w:val="0"/>
          <w:sz w:val="28"/>
          <w:szCs w:val="28"/>
        </w:rPr>
        <w:t>阳市公路管理局城郊分局四楼会议室（在规定时间内未报价者</w:t>
      </w:r>
      <w:r>
        <w:rPr>
          <w:rFonts w:hint="eastAsia" w:ascii="仿宋" w:hAnsi="仿宋" w:eastAsia="仿宋" w:cs="宋体"/>
          <w:kern w:val="0"/>
          <w:sz w:val="28"/>
          <w:szCs w:val="28"/>
        </w:rPr>
        <w:t>视为自动弃权）。</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七、询价方式：询价小组将对各供应商的营业执照、资格证书及报价等资料（一次报出不得更改的价格）进行审定。</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八、</w:t>
      </w:r>
      <w:r>
        <w:rPr>
          <w:rFonts w:ascii="仿宋" w:hAnsi="仿宋" w:eastAsia="仿宋"/>
          <w:szCs w:val="28"/>
        </w:rPr>
        <w:t>评审方式：</w:t>
      </w:r>
      <w:r>
        <w:rPr>
          <w:rFonts w:hint="eastAsia" w:ascii="仿宋" w:hAnsi="仿宋" w:eastAsia="仿宋" w:cs="宋体"/>
          <w:kern w:val="0"/>
          <w:szCs w:val="28"/>
        </w:rPr>
        <w:t>各方面满足采购人要求的前提下，按照报价由低到高的顺序提出3名成交候选人。</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九、出现下列情形之一的，采购人将终止询价采购活动，发布项目终止公告并说明原因，重新开展采购活动：</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（一）因情况变化，不再符合规定的询价采购方式适用情形的；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（二）出现影响采购公正的违法、违规行为的；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（三）在采购过程中符合竞争要求的供应商或者报价未超过采购预算的供应商不足3家的。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十、在询价结果公示3日后，采购人将按照报价最低的原则确定成交供应商并签订合同协议书。</w:t>
      </w:r>
    </w:p>
    <w:p>
      <w:pPr>
        <w:pStyle w:val="2"/>
        <w:spacing w:line="360" w:lineRule="auto"/>
        <w:ind w:firstLine="560" w:firstLineChars="200"/>
        <w:rPr>
          <w:rFonts w:ascii="仿宋" w:hAnsi="仿宋" w:eastAsia="仿宋"/>
          <w:szCs w:val="28"/>
        </w:rPr>
      </w:pPr>
      <w:r>
        <w:rPr>
          <w:rFonts w:hint="eastAsia" w:ascii="仿宋" w:hAnsi="仿宋" w:eastAsia="仿宋"/>
          <w:szCs w:val="28"/>
        </w:rPr>
        <w:t>十一、注意事项</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前来报价的供应商应在报价截止时间前至洛阳市公路管理局城郊分局四楼会议室签到以确认出席，逾期签到者视为自动放弃。</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十二、采购人：洛阳市公路管理局城郊分局</w:t>
      </w:r>
    </w:p>
    <w:p>
      <w:pPr>
        <w:pStyle w:val="2"/>
        <w:spacing w:line="360" w:lineRule="auto"/>
        <w:ind w:firstLine="560" w:firstLineChars="200"/>
        <w:rPr>
          <w:rFonts w:hint="default" w:ascii="仿宋" w:hAnsi="仿宋" w:eastAsia="仿宋" w:cs="宋体"/>
          <w:kern w:val="0"/>
          <w:szCs w:val="28"/>
          <w:lang w:val="en-US" w:eastAsia="zh-CN"/>
        </w:rPr>
      </w:pPr>
      <w:r>
        <w:rPr>
          <w:rFonts w:hint="eastAsia" w:ascii="仿宋" w:hAnsi="仿宋" w:eastAsia="仿宋" w:cs="宋体"/>
          <w:kern w:val="0"/>
          <w:szCs w:val="28"/>
        </w:rPr>
        <w:t>联系人及电话：金女士0379-6</w:t>
      </w:r>
      <w:r>
        <w:rPr>
          <w:rFonts w:hint="eastAsia" w:ascii="仿宋" w:hAnsi="仿宋" w:eastAsia="仿宋" w:cs="宋体"/>
          <w:kern w:val="0"/>
          <w:szCs w:val="28"/>
          <w:lang w:val="en-US" w:eastAsia="zh-CN"/>
        </w:rPr>
        <w:t>9923002</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十三、询价结果将统一在洛阳市公路事业发展中心网站（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360" w:lineRule="auto"/>
        <w:jc w:val="right"/>
        <w:rPr>
          <w:rFonts w:ascii="仿宋" w:hAnsi="仿宋" w:eastAsia="仿宋"/>
          <w:sz w:val="28"/>
          <w:szCs w:val="28"/>
        </w:rPr>
      </w:pPr>
    </w:p>
    <w:p>
      <w:pPr>
        <w:spacing w:line="360" w:lineRule="auto"/>
        <w:jc w:val="right"/>
        <w:rPr>
          <w:rFonts w:ascii="仿宋" w:hAnsi="仿宋" w:eastAsia="仿宋"/>
          <w:sz w:val="28"/>
          <w:szCs w:val="28"/>
        </w:rPr>
      </w:pPr>
      <w:r>
        <w:rPr>
          <w:rFonts w:hint="eastAsia" w:ascii="仿宋" w:hAnsi="仿宋" w:eastAsia="仿宋"/>
          <w:sz w:val="28"/>
          <w:szCs w:val="28"/>
        </w:rPr>
        <w:t>2020年6月2</w:t>
      </w:r>
      <w:r>
        <w:rPr>
          <w:rFonts w:hint="eastAsia" w:ascii="仿宋" w:hAnsi="仿宋" w:eastAsia="仿宋"/>
          <w:sz w:val="28"/>
          <w:szCs w:val="28"/>
          <w:lang w:val="en-US" w:eastAsia="zh-CN"/>
        </w:rPr>
        <w:t>1</w:t>
      </w:r>
      <w:r>
        <w:rPr>
          <w:rFonts w:hint="eastAsia" w:ascii="仿宋" w:hAnsi="仿宋" w:eastAsia="仿宋"/>
          <w:sz w:val="28"/>
          <w:szCs w:val="28"/>
        </w:rPr>
        <w:t>日</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pStyle w:val="22"/>
        <w:rPr>
          <w:b/>
          <w:sz w:val="44"/>
          <w:szCs w:val="44"/>
        </w:rPr>
      </w:pPr>
    </w:p>
    <w:p>
      <w:pPr>
        <w:pStyle w:val="23"/>
      </w:pPr>
    </w:p>
    <w:p>
      <w:pPr>
        <w:jc w:val="center"/>
        <w:rPr>
          <w:b/>
          <w:sz w:val="44"/>
          <w:szCs w:val="44"/>
        </w:rPr>
      </w:pPr>
    </w:p>
    <w:p>
      <w:pPr>
        <w:autoSpaceDE w:val="0"/>
        <w:autoSpaceDN w:val="0"/>
        <w:adjustRightInd w:val="0"/>
        <w:spacing w:line="200" w:lineRule="exact"/>
        <w:jc w:val="left"/>
        <w:rPr>
          <w:rFonts w:ascii="仿宋_GB2312" w:hAnsi="宋体" w:eastAsia="仿宋_GB2312" w:cs="黑体"/>
          <w:kern w:val="0"/>
          <w:sz w:val="20"/>
          <w:szCs w:val="20"/>
        </w:rPr>
      </w:pPr>
    </w:p>
    <w:p>
      <w:pPr>
        <w:spacing w:line="500" w:lineRule="exact"/>
        <w:rPr>
          <w:rFonts w:ascii="宋体" w:hAnsi="宋体"/>
          <w:sz w:val="24"/>
        </w:rPr>
      </w:pPr>
    </w:p>
    <w:p>
      <w:pPr>
        <w:spacing w:after="312" w:afterLines="100" w:line="500" w:lineRule="exact"/>
        <w:jc w:val="center"/>
        <w:rPr>
          <w:rFonts w:ascii="宋体" w:hAnsi="宋体"/>
          <w:b/>
          <w:sz w:val="28"/>
          <w:szCs w:val="28"/>
        </w:rPr>
      </w:pPr>
    </w:p>
    <w:p>
      <w:pPr>
        <w:spacing w:after="312" w:afterLines="100" w:line="500" w:lineRule="exact"/>
        <w:jc w:val="center"/>
        <w:rPr>
          <w:rFonts w:ascii="宋体" w:hAnsi="宋体"/>
          <w:b/>
          <w:sz w:val="28"/>
          <w:szCs w:val="28"/>
        </w:rPr>
      </w:pPr>
    </w:p>
    <w:p>
      <w:pPr>
        <w:spacing w:after="312" w:afterLines="100" w:line="500" w:lineRule="exact"/>
        <w:jc w:val="center"/>
        <w:rPr>
          <w:rFonts w:ascii="宋体" w:hAnsi="宋体"/>
          <w:b/>
          <w:sz w:val="28"/>
          <w:szCs w:val="28"/>
        </w:rPr>
      </w:pPr>
      <w:r>
        <w:rPr>
          <w:rFonts w:hint="eastAsia" w:ascii="宋体" w:hAnsi="宋体"/>
          <w:b/>
          <w:sz w:val="28"/>
          <w:szCs w:val="28"/>
        </w:rPr>
        <w:t>一、投标报价表</w:t>
      </w:r>
    </w:p>
    <w:p>
      <w:pPr>
        <w:spacing w:line="500" w:lineRule="exact"/>
        <w:ind w:firstLine="562"/>
        <w:rPr>
          <w:rFonts w:ascii="宋体" w:hAnsi="宋体"/>
          <w:b/>
          <w:color w:val="000000"/>
          <w:szCs w:val="28"/>
        </w:rPr>
      </w:pPr>
      <w:r>
        <w:rPr>
          <w:rFonts w:hint="eastAsia" w:ascii="宋体" w:hAnsi="宋体"/>
          <w:b/>
          <w:color w:val="000000"/>
          <w:szCs w:val="28"/>
        </w:rPr>
        <w:t xml:space="preserve">                      </w:t>
      </w:r>
    </w:p>
    <w:tbl>
      <w:tblPr>
        <w:tblStyle w:val="17"/>
        <w:tblW w:w="8981" w:type="dxa"/>
        <w:tblInd w:w="-459"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74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33"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项目名称</w:t>
            </w:r>
          </w:p>
        </w:tc>
        <w:tc>
          <w:tcPr>
            <w:tcW w:w="7421" w:type="dxa"/>
            <w:vAlign w:val="center"/>
          </w:tcPr>
          <w:p>
            <w:pPr>
              <w:autoSpaceDE w:val="0"/>
              <w:autoSpaceDN w:val="0"/>
              <w:adjustRightInd w:val="0"/>
              <w:spacing w:before="69" w:line="281" w:lineRule="auto"/>
              <w:ind w:right="149"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洛阳市公路</w:t>
            </w:r>
            <w:r>
              <w:rPr>
                <w:rFonts w:hint="eastAsia" w:cs="宋体" w:asciiTheme="minorEastAsia" w:hAnsiTheme="minorEastAsia" w:eastAsiaTheme="minorEastAsia"/>
                <w:kern w:val="0"/>
                <w:sz w:val="24"/>
                <w:lang w:val="en-US" w:eastAsia="zh-CN"/>
              </w:rPr>
              <w:t>管理局城郊分局</w:t>
            </w:r>
            <w:bookmarkStart w:id="0" w:name="_GoBack"/>
            <w:bookmarkEnd w:id="0"/>
            <w:r>
              <w:rPr>
                <w:rFonts w:hint="eastAsia" w:cs="宋体" w:asciiTheme="minorEastAsia" w:hAnsiTheme="minorEastAsia" w:eastAsiaTheme="minorEastAsia"/>
                <w:kern w:val="0"/>
                <w:sz w:val="24"/>
              </w:rPr>
              <w:t>拟对往来款项长期挂账的清理审计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8"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服务内容</w:t>
            </w:r>
          </w:p>
        </w:tc>
        <w:tc>
          <w:tcPr>
            <w:tcW w:w="7421" w:type="dxa"/>
            <w:vAlign w:val="center"/>
          </w:tcPr>
          <w:p>
            <w:pPr>
              <w:spacing w:line="500" w:lineRule="exact"/>
              <w:jc w:val="center"/>
              <w:rPr>
                <w:rFonts w:cs="宋体" w:asciiTheme="majorEastAsia" w:hAnsiTheme="majorEastAsia" w:eastAsiaTheme="majorEastAsia"/>
                <w:kern w:val="0"/>
                <w:sz w:val="24"/>
              </w:rPr>
            </w:pPr>
            <w:r>
              <w:rPr>
                <w:rFonts w:hint="eastAsia" w:cs="宋体" w:asciiTheme="minorEastAsia" w:hAnsiTheme="minorEastAsia" w:eastAsiaTheme="minorEastAsia"/>
                <w:kern w:val="0"/>
                <w:sz w:val="24"/>
              </w:rPr>
              <w:t>需清理挂账项目的审计，具体项目以委托方实际委托内容为准</w:t>
            </w:r>
            <w:r>
              <w:rPr>
                <w:rFonts w:hint="eastAsia" w:ascii="仿宋" w:hAnsi="仿宋" w:eastAsia="仿宋"/>
                <w:sz w:val="30"/>
                <w:szCs w:val="3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投标报价</w:t>
            </w: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（万元）</w:t>
            </w:r>
          </w:p>
        </w:tc>
        <w:tc>
          <w:tcPr>
            <w:tcW w:w="7421" w:type="dxa"/>
            <w:vAlign w:val="center"/>
          </w:tcPr>
          <w:p>
            <w:pPr>
              <w:spacing w:line="500" w:lineRule="exact"/>
              <w:jc w:val="center"/>
              <w:rPr>
                <w:rFonts w:cs="宋体" w:asciiTheme="minorEastAsia" w:hAnsiTheme="minorEastAsia" w:eastAsiaTheme="minorEastAsia"/>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822" w:hRule="atLeast"/>
        </w:trPr>
        <w:tc>
          <w:tcPr>
            <w:tcW w:w="1560" w:type="dxa"/>
            <w:vAlign w:val="center"/>
          </w:tcPr>
          <w:p>
            <w:pPr>
              <w:spacing w:line="500" w:lineRule="exact"/>
              <w:jc w:val="center"/>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w:t>
            </w: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它</w:t>
            </w:r>
          </w:p>
          <w:p>
            <w:pPr>
              <w:spacing w:line="500" w:lineRule="exact"/>
              <w:jc w:val="center"/>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tc>
        <w:tc>
          <w:tcPr>
            <w:tcW w:w="7421" w:type="dxa"/>
            <w:vAlign w:val="center"/>
          </w:tcPr>
          <w:p>
            <w:pPr>
              <w:spacing w:line="500" w:lineRule="exact"/>
              <w:jc w:val="center"/>
              <w:rPr>
                <w:rFonts w:cs="宋体" w:asciiTheme="minorEastAsia" w:hAnsiTheme="minorEastAsia" w:eastAsiaTheme="minorEastAsia"/>
                <w:kern w:val="0"/>
                <w:sz w:val="24"/>
              </w:rPr>
            </w:pPr>
          </w:p>
        </w:tc>
      </w:tr>
    </w:tbl>
    <w:p>
      <w:pPr>
        <w:tabs>
          <w:tab w:val="left" w:pos="6220"/>
          <w:tab w:val="left" w:pos="8080"/>
          <w:tab w:val="left" w:pos="8780"/>
        </w:tabs>
        <w:autoSpaceDE w:val="0"/>
        <w:autoSpaceDN w:val="0"/>
        <w:adjustRightInd w:val="0"/>
        <w:spacing w:line="288" w:lineRule="auto"/>
        <w:ind w:right="146"/>
        <w:jc w:val="left"/>
        <w:rPr>
          <w:rFonts w:cs="宋体" w:asciiTheme="minorEastAsia" w:hAnsiTheme="minorEastAsia" w:eastAsiaTheme="minorEastAsia"/>
          <w:kern w:val="0"/>
          <w:sz w:val="24"/>
        </w:rPr>
      </w:pPr>
    </w:p>
    <w:p>
      <w:pPr>
        <w:tabs>
          <w:tab w:val="left" w:pos="622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单位盖章</w:t>
      </w:r>
      <w:r>
        <w:rPr>
          <w:rFonts w:cs="宋体" w:asciiTheme="minorEastAsia" w:hAnsiTheme="minorEastAsia" w:eastAsiaTheme="minorEastAsia"/>
          <w:kern w:val="0"/>
          <w:sz w:val="24"/>
          <w:u w:val="single"/>
        </w:rPr>
        <w:t>)</w:t>
      </w:r>
      <w:r>
        <w:rPr>
          <w:rFonts w:cs="宋体" w:asciiTheme="minorEastAsia" w:hAnsiTheme="minorEastAsia" w:eastAsiaTheme="minorEastAsia"/>
          <w:kern w:val="0"/>
          <w:sz w:val="24"/>
        </w:rPr>
        <w:t xml:space="preserve"> </w:t>
      </w:r>
    </w:p>
    <w:p>
      <w:pPr>
        <w:tabs>
          <w:tab w:val="left" w:pos="622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法定代表人或其委托代理人</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签字</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ab/>
      </w:r>
      <w:r>
        <w:rPr>
          <w:rFonts w:cs="宋体" w:asciiTheme="minorEastAsia" w:hAnsiTheme="minorEastAsia" w:eastAsiaTheme="minorEastAsia"/>
          <w:kern w:val="0"/>
          <w:sz w:val="24"/>
        </w:rPr>
        <w:tab/>
      </w:r>
      <w:r>
        <w:rPr>
          <w:rFonts w:cs="宋体" w:asciiTheme="minorEastAsia" w:hAnsiTheme="minorEastAsia" w:eastAsiaTheme="minorEastAsia"/>
          <w:kern w:val="0"/>
          <w:sz w:val="24"/>
        </w:rPr>
        <w:t xml:space="preserve"> </w:t>
      </w:r>
    </w:p>
    <w:p>
      <w:pPr>
        <w:tabs>
          <w:tab w:val="left" w:pos="748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电话：</w:t>
      </w:r>
      <w:r>
        <w:rPr>
          <w:rFonts w:cs="宋体" w:asciiTheme="minorEastAsia" w:hAnsiTheme="minorEastAsia" w:eastAsiaTheme="minorEastAsia"/>
          <w:kern w:val="0"/>
          <w:sz w:val="24"/>
          <w:u w:val="single"/>
        </w:rPr>
        <w:tab/>
      </w:r>
      <w:r>
        <w:rPr>
          <w:rFonts w:cs="宋体" w:asciiTheme="minorEastAsia" w:hAnsiTheme="minorEastAsia" w:eastAsiaTheme="minorEastAsia"/>
          <w:kern w:val="0"/>
          <w:sz w:val="24"/>
          <w:u w:val="single"/>
        </w:rPr>
        <w:tab/>
      </w:r>
    </w:p>
    <w:p>
      <w:pPr>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 xml:space="preserve">日 </w:t>
      </w:r>
    </w:p>
    <w:p>
      <w:pPr>
        <w:spacing w:line="360" w:lineRule="auto"/>
        <w:ind w:right="1280"/>
        <w:rPr>
          <w:rFonts w:ascii="仿宋" w:hAnsi="仿宋" w:eastAsia="仿宋" w:cs="宋体"/>
          <w:kern w:val="0"/>
          <w:sz w:val="30"/>
          <w:szCs w:val="30"/>
        </w:rPr>
      </w:pPr>
    </w:p>
    <w:p>
      <w:pPr>
        <w:pStyle w:val="22"/>
      </w:pPr>
    </w:p>
    <w:p>
      <w:pPr>
        <w:pStyle w:val="23"/>
      </w:pPr>
    </w:p>
    <w:p>
      <w:pPr>
        <w:spacing w:after="312" w:afterLines="100" w:line="500" w:lineRule="exact"/>
        <w:jc w:val="center"/>
        <w:rPr>
          <w:rFonts w:ascii="宋体" w:hAnsi="宋体"/>
          <w:b/>
          <w:sz w:val="28"/>
          <w:szCs w:val="28"/>
        </w:rPr>
      </w:pPr>
      <w:r>
        <w:rPr>
          <w:rFonts w:hint="eastAsia" w:ascii="宋体" w:hAnsi="宋体"/>
          <w:b/>
          <w:sz w:val="28"/>
          <w:szCs w:val="28"/>
        </w:rPr>
        <w:t>二、法定代表人授权委托书</w:t>
      </w:r>
    </w:p>
    <w:p>
      <w:pPr>
        <w:spacing w:line="360" w:lineRule="auto"/>
        <w:ind w:firstLine="525" w:firstLineChars="250"/>
        <w:rPr>
          <w:rFonts w:ascii="宋体" w:hAnsi="宋体"/>
          <w:szCs w:val="28"/>
        </w:rPr>
      </w:pPr>
      <w:r>
        <w:rPr>
          <w:rFonts w:hint="eastAsia" w:ascii="宋体" w:hAnsi="宋体"/>
          <w:szCs w:val="28"/>
        </w:rPr>
        <w:t>本授权委托书申明：我</w:t>
      </w:r>
      <w:r>
        <w:rPr>
          <w:rFonts w:hint="eastAsia" w:ascii="宋体" w:hAnsi="宋体"/>
          <w:szCs w:val="28"/>
          <w:u w:val="single"/>
        </w:rPr>
        <w:t xml:space="preserve">       </w:t>
      </w:r>
      <w:r>
        <w:rPr>
          <w:rFonts w:hint="eastAsia" w:ascii="宋体" w:hAnsi="宋体"/>
          <w:szCs w:val="28"/>
        </w:rPr>
        <w:t xml:space="preserve">（姓名）系 </w:t>
      </w:r>
      <w:r>
        <w:rPr>
          <w:rFonts w:hint="eastAsia" w:ascii="宋体" w:hAnsi="宋体"/>
          <w:szCs w:val="28"/>
          <w:u w:val="single"/>
        </w:rPr>
        <w:t xml:space="preserve">      </w:t>
      </w:r>
      <w:r>
        <w:rPr>
          <w:rFonts w:hint="eastAsia" w:ascii="宋体" w:hAnsi="宋体"/>
          <w:szCs w:val="28"/>
        </w:rPr>
        <w:t>（投标单位）的法定代表人，现授权委托</w:t>
      </w:r>
      <w:r>
        <w:rPr>
          <w:rFonts w:hint="eastAsia" w:ascii="宋体" w:hAnsi="宋体"/>
          <w:szCs w:val="28"/>
          <w:u w:val="single"/>
        </w:rPr>
        <w:t xml:space="preserve">             </w:t>
      </w:r>
      <w:r>
        <w:rPr>
          <w:rFonts w:hint="eastAsia" w:ascii="宋体" w:hAnsi="宋体"/>
          <w:szCs w:val="28"/>
        </w:rPr>
        <w:t>（单位名称）</w:t>
      </w:r>
      <w:r>
        <w:rPr>
          <w:rFonts w:hint="eastAsia" w:ascii="宋体" w:hAnsi="宋体"/>
          <w:szCs w:val="28"/>
          <w:u w:val="single"/>
        </w:rPr>
        <w:t xml:space="preserve">      </w:t>
      </w:r>
      <w:r>
        <w:rPr>
          <w:rFonts w:hint="eastAsia" w:ascii="宋体" w:hAnsi="宋体"/>
          <w:szCs w:val="28"/>
        </w:rPr>
        <w:t>（姓名）为我的委托代理人，以本公司的名义参加</w:t>
      </w:r>
      <w:r>
        <w:rPr>
          <w:rFonts w:hint="eastAsia" w:ascii="宋体" w:hAnsi="宋体"/>
          <w:szCs w:val="28"/>
          <w:u w:val="single"/>
        </w:rPr>
        <w:t xml:space="preserve">              </w:t>
      </w:r>
      <w:r>
        <w:rPr>
          <w:rFonts w:hint="eastAsia" w:ascii="宋体" w:hAnsi="宋体"/>
          <w:szCs w:val="28"/>
        </w:rPr>
        <w:t>工程的造价咨询报价，授权委托人在开标、评标、合同谈判过程中所签署的一切文件和处理与之有关的一切事务，我均予以承认。</w:t>
      </w:r>
    </w:p>
    <w:p>
      <w:pPr>
        <w:spacing w:line="360" w:lineRule="auto"/>
        <w:ind w:firstLine="210" w:firstLineChars="100"/>
        <w:rPr>
          <w:rFonts w:ascii="宋体" w:hAnsi="宋体"/>
          <w:szCs w:val="28"/>
        </w:rPr>
      </w:pPr>
      <w:r>
        <w:rPr>
          <w:rFonts w:hint="eastAsia" w:ascii="宋体" w:hAnsi="宋体"/>
          <w:szCs w:val="28"/>
        </w:rPr>
        <w:t xml:space="preserve">   代理人无转委托权，特此委托。</w:t>
      </w:r>
    </w:p>
    <w:p>
      <w:pPr>
        <w:spacing w:line="360" w:lineRule="auto"/>
        <w:ind w:firstLine="210" w:firstLineChars="100"/>
        <w:rPr>
          <w:rFonts w:ascii="宋体" w:hAnsi="宋体"/>
          <w:szCs w:val="28"/>
        </w:rPr>
      </w:pPr>
    </w:p>
    <w:p>
      <w:pPr>
        <w:spacing w:line="360" w:lineRule="auto"/>
        <w:ind w:firstLine="210" w:firstLineChars="100"/>
        <w:rPr>
          <w:rFonts w:ascii="宋体" w:hAnsi="宋体"/>
          <w:szCs w:val="28"/>
        </w:rPr>
      </w:pPr>
    </w:p>
    <w:p>
      <w:pPr>
        <w:spacing w:line="360" w:lineRule="auto"/>
        <w:ind w:firstLine="210" w:firstLineChars="100"/>
        <w:rPr>
          <w:rFonts w:ascii="宋体" w:hAnsi="宋体"/>
          <w:szCs w:val="28"/>
        </w:rPr>
      </w:pPr>
      <w:r>
        <w:rPr>
          <w:rFonts w:hint="eastAsia" w:ascii="宋体" w:hAnsi="宋体"/>
          <w:szCs w:val="28"/>
        </w:rPr>
        <w:t>投标单位（盖章）：</w:t>
      </w:r>
      <w:r>
        <w:rPr>
          <w:rFonts w:hint="eastAsia" w:ascii="宋体" w:hAnsi="宋体"/>
          <w:szCs w:val="28"/>
          <w:u w:val="single"/>
        </w:rPr>
        <w:t xml:space="preserve">                         </w:t>
      </w:r>
      <w:r>
        <w:rPr>
          <w:rFonts w:ascii="宋体" w:hAnsi="宋体"/>
          <w:szCs w:val="28"/>
        </w:rPr>
        <w:t xml:space="preserve"> </w:t>
      </w:r>
    </w:p>
    <w:p>
      <w:pPr>
        <w:spacing w:line="360" w:lineRule="auto"/>
        <w:ind w:firstLine="210" w:firstLineChars="100"/>
        <w:rPr>
          <w:rFonts w:ascii="宋体" w:hAnsi="宋体"/>
          <w:szCs w:val="28"/>
          <w:u w:val="single"/>
        </w:rPr>
      </w:pPr>
      <w:r>
        <w:rPr>
          <w:rFonts w:hint="eastAsia" w:ascii="宋体" w:hAnsi="宋体"/>
          <w:szCs w:val="28"/>
        </w:rPr>
        <w:t>法定代表人（签字或盖章）：</w:t>
      </w:r>
      <w:r>
        <w:rPr>
          <w:rFonts w:hint="eastAsia" w:ascii="宋体" w:hAnsi="宋体"/>
          <w:szCs w:val="28"/>
          <w:u w:val="single"/>
        </w:rPr>
        <w:t xml:space="preserve">                 </w:t>
      </w:r>
    </w:p>
    <w:p>
      <w:pPr>
        <w:spacing w:line="360" w:lineRule="auto"/>
        <w:ind w:firstLine="210" w:firstLineChars="100"/>
        <w:rPr>
          <w:rFonts w:ascii="宋体" w:hAnsi="宋体"/>
          <w:szCs w:val="28"/>
          <w:u w:val="single"/>
        </w:rPr>
      </w:pPr>
      <w:r>
        <w:rPr>
          <w:rFonts w:hint="eastAsia" w:ascii="宋体" w:hAnsi="宋体"/>
          <w:szCs w:val="28"/>
        </w:rPr>
        <w:t>身份证号码：</w:t>
      </w:r>
      <w:r>
        <w:rPr>
          <w:rFonts w:hint="eastAsia" w:ascii="宋体" w:hAnsi="宋体"/>
          <w:szCs w:val="28"/>
          <w:u w:val="single"/>
        </w:rPr>
        <w:t xml:space="preserve">                              </w:t>
      </w:r>
      <w:r>
        <w:rPr>
          <w:rFonts w:ascii="宋体" w:hAnsi="宋体"/>
          <w:szCs w:val="28"/>
        </w:rPr>
        <w:t xml:space="preserve"> </w:t>
      </w:r>
    </w:p>
    <w:p>
      <w:pPr>
        <w:spacing w:line="360" w:lineRule="auto"/>
        <w:ind w:firstLine="210" w:firstLineChars="100"/>
        <w:rPr>
          <w:rFonts w:ascii="宋体" w:hAnsi="宋体"/>
          <w:szCs w:val="28"/>
          <w:u w:val="single"/>
        </w:rPr>
      </w:pPr>
      <w:r>
        <w:rPr>
          <w:rFonts w:hint="eastAsia" w:ascii="宋体" w:hAnsi="宋体"/>
          <w:szCs w:val="28"/>
        </w:rPr>
        <w:t>委托代理人（签字或盖章）：</w:t>
      </w:r>
      <w:r>
        <w:rPr>
          <w:rFonts w:hint="eastAsia" w:ascii="宋体" w:hAnsi="宋体"/>
          <w:szCs w:val="28"/>
          <w:u w:val="single"/>
        </w:rPr>
        <w:t xml:space="preserve">                 </w:t>
      </w:r>
    </w:p>
    <w:p>
      <w:pPr>
        <w:spacing w:line="360" w:lineRule="auto"/>
        <w:ind w:firstLine="210" w:firstLineChars="100"/>
        <w:rPr>
          <w:rFonts w:ascii="宋体" w:hAnsi="宋体"/>
          <w:szCs w:val="28"/>
          <w:u w:val="single"/>
        </w:rPr>
      </w:pPr>
      <w:r>
        <w:rPr>
          <w:rFonts w:hint="eastAsia" w:ascii="宋体" w:hAnsi="宋体"/>
          <w:szCs w:val="28"/>
        </w:rPr>
        <w:t>身份证号码：</w:t>
      </w:r>
      <w:r>
        <w:rPr>
          <w:rFonts w:hint="eastAsia" w:ascii="宋体" w:hAnsi="宋体"/>
          <w:szCs w:val="28"/>
          <w:u w:val="single"/>
        </w:rPr>
        <w:t xml:space="preserve">                              </w:t>
      </w:r>
      <w:r>
        <w:rPr>
          <w:rFonts w:ascii="宋体" w:hAnsi="宋体"/>
          <w:szCs w:val="28"/>
        </w:rPr>
        <w:t xml:space="preserve"> </w:t>
      </w:r>
    </w:p>
    <w:p>
      <w:pPr>
        <w:spacing w:line="360" w:lineRule="auto"/>
        <w:rPr>
          <w:rFonts w:ascii="宋体" w:hAnsi="宋体"/>
          <w:szCs w:val="28"/>
        </w:rPr>
      </w:pPr>
    </w:p>
    <w:p>
      <w:pPr>
        <w:spacing w:line="360" w:lineRule="auto"/>
        <w:ind w:firstLine="3255" w:firstLineChars="1550"/>
        <w:rPr>
          <w:rFonts w:ascii="宋体" w:hAnsi="宋体"/>
          <w:szCs w:val="28"/>
        </w:rPr>
      </w:pP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500" w:lineRule="exact"/>
        <w:jc w:val="center"/>
        <w:rPr>
          <w:rFonts w:ascii="仿宋" w:hAnsi="仿宋" w:eastAsia="仿宋" w:cs="宋体"/>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lowerLetter"/>
      <w:pStyle w:val="27"/>
      <w:lvlText w:val="%1."/>
      <w:legacy w:legacy="1" w:legacySpace="0" w:legacyIndent="425"/>
      <w:lvlJc w:val="left"/>
      <w:pPr>
        <w:ind w:left="425" w:hanging="425"/>
      </w:pPr>
      <w:rPr>
        <w:rFonts w:hint="eastAsia" w:ascii="宋体" w:eastAsia="宋体"/>
        <w:b w:val="0"/>
        <w:i w:val="0"/>
      </w:rPr>
    </w:lvl>
    <w:lvl w:ilvl="1" w:tentative="0">
      <w:start w:val="1"/>
      <w:numFmt w:val="decimal"/>
      <w:pStyle w:val="28"/>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abstractNum w:abstractNumId="1">
    <w:nsid w:val="272568BD"/>
    <w:multiLevelType w:val="multilevel"/>
    <w:tmpl w:val="272568BD"/>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00461A1"/>
    <w:multiLevelType w:val="singleLevel"/>
    <w:tmpl w:val="500461A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91"/>
    <w:rsid w:val="00015D1B"/>
    <w:rsid w:val="00027B15"/>
    <w:rsid w:val="00036AAC"/>
    <w:rsid w:val="00041DC9"/>
    <w:rsid w:val="00042545"/>
    <w:rsid w:val="00051182"/>
    <w:rsid w:val="000743C0"/>
    <w:rsid w:val="00080BEA"/>
    <w:rsid w:val="0008137B"/>
    <w:rsid w:val="00093888"/>
    <w:rsid w:val="0009750D"/>
    <w:rsid w:val="000A1935"/>
    <w:rsid w:val="000A4BAF"/>
    <w:rsid w:val="000A537F"/>
    <w:rsid w:val="000B414E"/>
    <w:rsid w:val="000B667B"/>
    <w:rsid w:val="000C44D3"/>
    <w:rsid w:val="000D3B64"/>
    <w:rsid w:val="000D4153"/>
    <w:rsid w:val="000F50A1"/>
    <w:rsid w:val="000F7786"/>
    <w:rsid w:val="00100229"/>
    <w:rsid w:val="00100AEF"/>
    <w:rsid w:val="001326B5"/>
    <w:rsid w:val="0013321E"/>
    <w:rsid w:val="001406EF"/>
    <w:rsid w:val="001410B8"/>
    <w:rsid w:val="00145C15"/>
    <w:rsid w:val="001544A0"/>
    <w:rsid w:val="00164DD2"/>
    <w:rsid w:val="00166FAA"/>
    <w:rsid w:val="00170FF9"/>
    <w:rsid w:val="001726C6"/>
    <w:rsid w:val="00173071"/>
    <w:rsid w:val="001765FE"/>
    <w:rsid w:val="00180242"/>
    <w:rsid w:val="00191B67"/>
    <w:rsid w:val="0019283C"/>
    <w:rsid w:val="00192AF7"/>
    <w:rsid w:val="001A091C"/>
    <w:rsid w:val="001A1716"/>
    <w:rsid w:val="001A2E21"/>
    <w:rsid w:val="001C2474"/>
    <w:rsid w:val="001C6573"/>
    <w:rsid w:val="001D53A9"/>
    <w:rsid w:val="001D77C5"/>
    <w:rsid w:val="001E092E"/>
    <w:rsid w:val="001F71D2"/>
    <w:rsid w:val="0021687C"/>
    <w:rsid w:val="00222349"/>
    <w:rsid w:val="00223663"/>
    <w:rsid w:val="0022478E"/>
    <w:rsid w:val="002303C0"/>
    <w:rsid w:val="00240BE0"/>
    <w:rsid w:val="00262142"/>
    <w:rsid w:val="002622BF"/>
    <w:rsid w:val="002664EA"/>
    <w:rsid w:val="00267BAF"/>
    <w:rsid w:val="00274B6D"/>
    <w:rsid w:val="00275A23"/>
    <w:rsid w:val="00287567"/>
    <w:rsid w:val="00296615"/>
    <w:rsid w:val="002A101A"/>
    <w:rsid w:val="002B171C"/>
    <w:rsid w:val="002B59A5"/>
    <w:rsid w:val="002B7E40"/>
    <w:rsid w:val="002C3D0E"/>
    <w:rsid w:val="002D1D65"/>
    <w:rsid w:val="002E28B2"/>
    <w:rsid w:val="002F0CBD"/>
    <w:rsid w:val="00305A28"/>
    <w:rsid w:val="0030639A"/>
    <w:rsid w:val="0031682F"/>
    <w:rsid w:val="00333B9E"/>
    <w:rsid w:val="00334E9F"/>
    <w:rsid w:val="00335380"/>
    <w:rsid w:val="00343AE1"/>
    <w:rsid w:val="00357DF1"/>
    <w:rsid w:val="003634F0"/>
    <w:rsid w:val="00364F0B"/>
    <w:rsid w:val="00365F4F"/>
    <w:rsid w:val="00366A66"/>
    <w:rsid w:val="003670FB"/>
    <w:rsid w:val="00382F7E"/>
    <w:rsid w:val="0038770C"/>
    <w:rsid w:val="003909A0"/>
    <w:rsid w:val="00394964"/>
    <w:rsid w:val="003A0AF0"/>
    <w:rsid w:val="003C7F47"/>
    <w:rsid w:val="003E2625"/>
    <w:rsid w:val="003E3D7B"/>
    <w:rsid w:val="003F39E4"/>
    <w:rsid w:val="004042D8"/>
    <w:rsid w:val="00410320"/>
    <w:rsid w:val="00411A1F"/>
    <w:rsid w:val="004169E4"/>
    <w:rsid w:val="00432BED"/>
    <w:rsid w:val="004404CB"/>
    <w:rsid w:val="00462DAC"/>
    <w:rsid w:val="00470468"/>
    <w:rsid w:val="00471249"/>
    <w:rsid w:val="00471965"/>
    <w:rsid w:val="00474C97"/>
    <w:rsid w:val="0048090A"/>
    <w:rsid w:val="004907D8"/>
    <w:rsid w:val="00491352"/>
    <w:rsid w:val="00493977"/>
    <w:rsid w:val="00496F78"/>
    <w:rsid w:val="0049702A"/>
    <w:rsid w:val="00497670"/>
    <w:rsid w:val="004B346D"/>
    <w:rsid w:val="004C1B0D"/>
    <w:rsid w:val="004D4338"/>
    <w:rsid w:val="004D73B2"/>
    <w:rsid w:val="004E702A"/>
    <w:rsid w:val="004F0426"/>
    <w:rsid w:val="004F3444"/>
    <w:rsid w:val="004F6335"/>
    <w:rsid w:val="0051098E"/>
    <w:rsid w:val="0051447B"/>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A7BAC"/>
    <w:rsid w:val="005B2619"/>
    <w:rsid w:val="005B761D"/>
    <w:rsid w:val="005C2768"/>
    <w:rsid w:val="005C6C38"/>
    <w:rsid w:val="005E32CF"/>
    <w:rsid w:val="005E7FD8"/>
    <w:rsid w:val="005F704D"/>
    <w:rsid w:val="00616029"/>
    <w:rsid w:val="00632B02"/>
    <w:rsid w:val="006349A3"/>
    <w:rsid w:val="006446AE"/>
    <w:rsid w:val="00650029"/>
    <w:rsid w:val="00655A76"/>
    <w:rsid w:val="00662498"/>
    <w:rsid w:val="006646DB"/>
    <w:rsid w:val="0066671D"/>
    <w:rsid w:val="00671299"/>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2DD2"/>
    <w:rsid w:val="00713493"/>
    <w:rsid w:val="007177B8"/>
    <w:rsid w:val="00723BA1"/>
    <w:rsid w:val="00725E71"/>
    <w:rsid w:val="00736E8F"/>
    <w:rsid w:val="00756F32"/>
    <w:rsid w:val="00766B5C"/>
    <w:rsid w:val="00775B02"/>
    <w:rsid w:val="00780CF0"/>
    <w:rsid w:val="007821C4"/>
    <w:rsid w:val="00786A04"/>
    <w:rsid w:val="00791DBC"/>
    <w:rsid w:val="00797A65"/>
    <w:rsid w:val="007A404E"/>
    <w:rsid w:val="007A49A3"/>
    <w:rsid w:val="007A7A18"/>
    <w:rsid w:val="007A7B8D"/>
    <w:rsid w:val="007B178B"/>
    <w:rsid w:val="007C58EF"/>
    <w:rsid w:val="007D4DDE"/>
    <w:rsid w:val="007D7D28"/>
    <w:rsid w:val="007E0398"/>
    <w:rsid w:val="007E23A7"/>
    <w:rsid w:val="007E35A6"/>
    <w:rsid w:val="007E520E"/>
    <w:rsid w:val="007E5690"/>
    <w:rsid w:val="007E6C86"/>
    <w:rsid w:val="007E7CD4"/>
    <w:rsid w:val="007F3CEB"/>
    <w:rsid w:val="00800689"/>
    <w:rsid w:val="0080165E"/>
    <w:rsid w:val="00812CC3"/>
    <w:rsid w:val="0082155C"/>
    <w:rsid w:val="00826590"/>
    <w:rsid w:val="00831C0C"/>
    <w:rsid w:val="00833D55"/>
    <w:rsid w:val="008525F9"/>
    <w:rsid w:val="008626C1"/>
    <w:rsid w:val="00863A98"/>
    <w:rsid w:val="00865B33"/>
    <w:rsid w:val="00884A40"/>
    <w:rsid w:val="00884D90"/>
    <w:rsid w:val="0089066D"/>
    <w:rsid w:val="008B12A2"/>
    <w:rsid w:val="008D0672"/>
    <w:rsid w:val="008D15C3"/>
    <w:rsid w:val="008D1ABA"/>
    <w:rsid w:val="008E7DE8"/>
    <w:rsid w:val="0090078F"/>
    <w:rsid w:val="0091051C"/>
    <w:rsid w:val="00914E65"/>
    <w:rsid w:val="009163D3"/>
    <w:rsid w:val="00942647"/>
    <w:rsid w:val="0094358F"/>
    <w:rsid w:val="00947978"/>
    <w:rsid w:val="0096014E"/>
    <w:rsid w:val="00961831"/>
    <w:rsid w:val="00964AC2"/>
    <w:rsid w:val="0096554E"/>
    <w:rsid w:val="00966A2D"/>
    <w:rsid w:val="00970143"/>
    <w:rsid w:val="00990A58"/>
    <w:rsid w:val="009A014F"/>
    <w:rsid w:val="009A5AE9"/>
    <w:rsid w:val="009A6BF4"/>
    <w:rsid w:val="009B0DB2"/>
    <w:rsid w:val="009D0763"/>
    <w:rsid w:val="009D4A6C"/>
    <w:rsid w:val="009E15BF"/>
    <w:rsid w:val="009E15F4"/>
    <w:rsid w:val="00A00C28"/>
    <w:rsid w:val="00A04253"/>
    <w:rsid w:val="00A04D36"/>
    <w:rsid w:val="00A062B0"/>
    <w:rsid w:val="00A14DEC"/>
    <w:rsid w:val="00A330D4"/>
    <w:rsid w:val="00A339D2"/>
    <w:rsid w:val="00A515DC"/>
    <w:rsid w:val="00A53FEA"/>
    <w:rsid w:val="00A5487F"/>
    <w:rsid w:val="00A55E54"/>
    <w:rsid w:val="00A56E63"/>
    <w:rsid w:val="00A61B02"/>
    <w:rsid w:val="00A61DE0"/>
    <w:rsid w:val="00A7662A"/>
    <w:rsid w:val="00A868B9"/>
    <w:rsid w:val="00A90BA8"/>
    <w:rsid w:val="00A90E77"/>
    <w:rsid w:val="00A968D6"/>
    <w:rsid w:val="00AA2229"/>
    <w:rsid w:val="00AA23CE"/>
    <w:rsid w:val="00AC5945"/>
    <w:rsid w:val="00AC79F1"/>
    <w:rsid w:val="00AD5597"/>
    <w:rsid w:val="00AD60D7"/>
    <w:rsid w:val="00B003D9"/>
    <w:rsid w:val="00B05D6B"/>
    <w:rsid w:val="00B1440F"/>
    <w:rsid w:val="00B30918"/>
    <w:rsid w:val="00B30CFC"/>
    <w:rsid w:val="00B510AA"/>
    <w:rsid w:val="00B67AAC"/>
    <w:rsid w:val="00B704A9"/>
    <w:rsid w:val="00B735CC"/>
    <w:rsid w:val="00B73F88"/>
    <w:rsid w:val="00B80357"/>
    <w:rsid w:val="00B814E5"/>
    <w:rsid w:val="00BA3877"/>
    <w:rsid w:val="00BB07D9"/>
    <w:rsid w:val="00BC2260"/>
    <w:rsid w:val="00BC4E58"/>
    <w:rsid w:val="00BD320A"/>
    <w:rsid w:val="00BD4099"/>
    <w:rsid w:val="00BE2533"/>
    <w:rsid w:val="00BE79B0"/>
    <w:rsid w:val="00BF232B"/>
    <w:rsid w:val="00BF6DCC"/>
    <w:rsid w:val="00C01C5A"/>
    <w:rsid w:val="00C064FB"/>
    <w:rsid w:val="00C166AA"/>
    <w:rsid w:val="00C1684A"/>
    <w:rsid w:val="00C16986"/>
    <w:rsid w:val="00C337FD"/>
    <w:rsid w:val="00C33A95"/>
    <w:rsid w:val="00C33E45"/>
    <w:rsid w:val="00C40805"/>
    <w:rsid w:val="00C51E2F"/>
    <w:rsid w:val="00C51E98"/>
    <w:rsid w:val="00C523AD"/>
    <w:rsid w:val="00C52C6C"/>
    <w:rsid w:val="00C722D6"/>
    <w:rsid w:val="00C84F03"/>
    <w:rsid w:val="00C865C9"/>
    <w:rsid w:val="00C90441"/>
    <w:rsid w:val="00C924A8"/>
    <w:rsid w:val="00CA1AA4"/>
    <w:rsid w:val="00CD6671"/>
    <w:rsid w:val="00CE2C5B"/>
    <w:rsid w:val="00CE2FC7"/>
    <w:rsid w:val="00CE3FB7"/>
    <w:rsid w:val="00D02513"/>
    <w:rsid w:val="00D07680"/>
    <w:rsid w:val="00D1509A"/>
    <w:rsid w:val="00D151EE"/>
    <w:rsid w:val="00D23007"/>
    <w:rsid w:val="00D23715"/>
    <w:rsid w:val="00D25AE0"/>
    <w:rsid w:val="00D268B1"/>
    <w:rsid w:val="00D42E35"/>
    <w:rsid w:val="00D500E6"/>
    <w:rsid w:val="00D5161F"/>
    <w:rsid w:val="00D54E6D"/>
    <w:rsid w:val="00D62D58"/>
    <w:rsid w:val="00D64878"/>
    <w:rsid w:val="00D65875"/>
    <w:rsid w:val="00D6738B"/>
    <w:rsid w:val="00D82953"/>
    <w:rsid w:val="00D86CED"/>
    <w:rsid w:val="00D93C0B"/>
    <w:rsid w:val="00D96520"/>
    <w:rsid w:val="00D96809"/>
    <w:rsid w:val="00D96C17"/>
    <w:rsid w:val="00D97A3C"/>
    <w:rsid w:val="00D97A99"/>
    <w:rsid w:val="00D97ECE"/>
    <w:rsid w:val="00DC151D"/>
    <w:rsid w:val="00DC447D"/>
    <w:rsid w:val="00DE36F3"/>
    <w:rsid w:val="00DE7019"/>
    <w:rsid w:val="00DF618E"/>
    <w:rsid w:val="00E03206"/>
    <w:rsid w:val="00E116A6"/>
    <w:rsid w:val="00E14421"/>
    <w:rsid w:val="00E22CD5"/>
    <w:rsid w:val="00E2685F"/>
    <w:rsid w:val="00E2763B"/>
    <w:rsid w:val="00E30639"/>
    <w:rsid w:val="00E3490D"/>
    <w:rsid w:val="00E46096"/>
    <w:rsid w:val="00E470A5"/>
    <w:rsid w:val="00E56F0C"/>
    <w:rsid w:val="00E61F57"/>
    <w:rsid w:val="00E630D0"/>
    <w:rsid w:val="00E650DF"/>
    <w:rsid w:val="00E65185"/>
    <w:rsid w:val="00E72ABA"/>
    <w:rsid w:val="00E80FD7"/>
    <w:rsid w:val="00E85BD9"/>
    <w:rsid w:val="00E8688F"/>
    <w:rsid w:val="00E9703F"/>
    <w:rsid w:val="00E97450"/>
    <w:rsid w:val="00EA205E"/>
    <w:rsid w:val="00EA33BB"/>
    <w:rsid w:val="00EA387D"/>
    <w:rsid w:val="00EB0E9E"/>
    <w:rsid w:val="00EB26B7"/>
    <w:rsid w:val="00EB299F"/>
    <w:rsid w:val="00EB412D"/>
    <w:rsid w:val="00EB5564"/>
    <w:rsid w:val="00EB7AAF"/>
    <w:rsid w:val="00ED0D2C"/>
    <w:rsid w:val="00ED626A"/>
    <w:rsid w:val="00ED7D79"/>
    <w:rsid w:val="00EF1675"/>
    <w:rsid w:val="00F04DF2"/>
    <w:rsid w:val="00F11748"/>
    <w:rsid w:val="00F21C89"/>
    <w:rsid w:val="00F3453B"/>
    <w:rsid w:val="00F4143C"/>
    <w:rsid w:val="00F46300"/>
    <w:rsid w:val="00F50B76"/>
    <w:rsid w:val="00F540F3"/>
    <w:rsid w:val="00F60806"/>
    <w:rsid w:val="00F6195D"/>
    <w:rsid w:val="00F62F1D"/>
    <w:rsid w:val="00F75949"/>
    <w:rsid w:val="00F7637C"/>
    <w:rsid w:val="00F82770"/>
    <w:rsid w:val="00F959D4"/>
    <w:rsid w:val="00FA6655"/>
    <w:rsid w:val="00FB2A1C"/>
    <w:rsid w:val="00FB316B"/>
    <w:rsid w:val="00FB4035"/>
    <w:rsid w:val="00FC2961"/>
    <w:rsid w:val="00FD4AB3"/>
    <w:rsid w:val="00FE1FB4"/>
    <w:rsid w:val="00FF3B40"/>
    <w:rsid w:val="00FF7425"/>
    <w:rsid w:val="02ED4E5F"/>
    <w:rsid w:val="032F59DA"/>
    <w:rsid w:val="08637A04"/>
    <w:rsid w:val="0EF47445"/>
    <w:rsid w:val="11893BFF"/>
    <w:rsid w:val="168A0A08"/>
    <w:rsid w:val="16B13D23"/>
    <w:rsid w:val="18E36BCF"/>
    <w:rsid w:val="19665559"/>
    <w:rsid w:val="21BD3B99"/>
    <w:rsid w:val="2BB146AB"/>
    <w:rsid w:val="33762278"/>
    <w:rsid w:val="38FF544A"/>
    <w:rsid w:val="3A686A18"/>
    <w:rsid w:val="3AC469D7"/>
    <w:rsid w:val="3C535F2A"/>
    <w:rsid w:val="3CB22985"/>
    <w:rsid w:val="4021385F"/>
    <w:rsid w:val="42E379CC"/>
    <w:rsid w:val="439738F5"/>
    <w:rsid w:val="43F445EB"/>
    <w:rsid w:val="54BC0103"/>
    <w:rsid w:val="56DF6F22"/>
    <w:rsid w:val="578539EB"/>
    <w:rsid w:val="59157417"/>
    <w:rsid w:val="5B120206"/>
    <w:rsid w:val="5E904D61"/>
    <w:rsid w:val="606B18B8"/>
    <w:rsid w:val="76306772"/>
    <w:rsid w:val="77A07088"/>
    <w:rsid w:val="7AC74360"/>
    <w:rsid w:val="7E85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6">
    <w:name w:val="Normal Indent"/>
    <w:basedOn w:val="1"/>
    <w:unhideWhenUsed/>
    <w:qFormat/>
    <w:uiPriority w:val="99"/>
    <w:pPr>
      <w:spacing w:line="600" w:lineRule="exact"/>
      <w:ind w:firstLine="200" w:firstLineChars="200"/>
    </w:pPr>
    <w:rPr>
      <w:szCs w:val="21"/>
    </w:rPr>
  </w:style>
  <w:style w:type="paragraph" w:styleId="7">
    <w:name w:val="annotation text"/>
    <w:basedOn w:val="1"/>
    <w:link w:val="25"/>
    <w:qFormat/>
    <w:uiPriority w:val="0"/>
    <w:pPr>
      <w:jc w:val="left"/>
    </w:pPr>
    <w:rPr>
      <w:rFonts w:eastAsia="仿宋_GB2312"/>
      <w:sz w:val="30"/>
      <w:szCs w:val="20"/>
    </w:rPr>
  </w:style>
  <w:style w:type="paragraph" w:styleId="8">
    <w:name w:val="Body Text Indent"/>
    <w:basedOn w:val="1"/>
    <w:next w:val="9"/>
    <w:qFormat/>
    <w:uiPriority w:val="0"/>
    <w:pPr>
      <w:spacing w:line="400" w:lineRule="exact"/>
      <w:ind w:left="630"/>
    </w:pPr>
    <w:rPr>
      <w:rFonts w:ascii="楷体_GB231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next w:val="1"/>
    <w:qFormat/>
    <w:uiPriority w:val="0"/>
    <w:pPr>
      <w:spacing w:line="240" w:lineRule="auto"/>
      <w:ind w:left="200" w:leftChars="200" w:firstLine="20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0"/>
    <w:rPr>
      <w:color w:val="444444"/>
      <w:sz w:val="16"/>
      <w:szCs w:val="16"/>
      <w:u w:val="none"/>
    </w:rPr>
  </w:style>
  <w:style w:type="character" w:styleId="21">
    <w:name w:val="Hyperlink"/>
    <w:basedOn w:val="19"/>
    <w:qFormat/>
    <w:uiPriority w:val="0"/>
    <w:rPr>
      <w:color w:val="444444"/>
      <w:sz w:val="16"/>
      <w:szCs w:val="16"/>
      <w:u w:val="none"/>
    </w:rPr>
  </w:style>
  <w:style w:type="paragraph" w:customStyle="1" w:styleId="22">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大标题"/>
    <w:basedOn w:val="1"/>
    <w:next w:val="16"/>
    <w:qFormat/>
    <w:uiPriority w:val="0"/>
    <w:pPr>
      <w:jc w:val="center"/>
    </w:pPr>
    <w:rPr>
      <w:rFonts w:ascii="Arial" w:hAnsi="Arial"/>
      <w:b/>
      <w:sz w:val="28"/>
    </w:rPr>
  </w:style>
  <w:style w:type="character" w:customStyle="1" w:styleId="24">
    <w:name w:val="标题 1 Char"/>
    <w:basedOn w:val="19"/>
    <w:link w:val="3"/>
    <w:qFormat/>
    <w:locked/>
    <w:uiPriority w:val="0"/>
    <w:rPr>
      <w:rFonts w:eastAsia="宋体"/>
      <w:b/>
      <w:kern w:val="44"/>
      <w:sz w:val="44"/>
      <w:lang w:val="en-US" w:eastAsia="zh-CN" w:bidi="ar-SA"/>
    </w:rPr>
  </w:style>
  <w:style w:type="character" w:customStyle="1" w:styleId="25">
    <w:name w:val="批注文字 Char"/>
    <w:basedOn w:val="19"/>
    <w:link w:val="7"/>
    <w:qFormat/>
    <w:uiPriority w:val="0"/>
    <w:rPr>
      <w:rFonts w:eastAsia="仿宋_GB2312"/>
      <w:kern w:val="2"/>
      <w:sz w:val="30"/>
      <w:lang w:bidi="ar-SA"/>
    </w:rPr>
  </w:style>
  <w:style w:type="paragraph" w:customStyle="1" w:styleId="26">
    <w:name w:val="正文1"/>
    <w:basedOn w:val="1"/>
    <w:qFormat/>
    <w:uiPriority w:val="0"/>
    <w:pPr>
      <w:snapToGrid w:val="0"/>
      <w:spacing w:line="500" w:lineRule="atLeast"/>
      <w:ind w:firstLine="539"/>
    </w:pPr>
    <w:rPr>
      <w:rFonts w:ascii="宋体" w:hAnsi="Arial Narrow"/>
      <w:spacing w:val="14"/>
      <w:sz w:val="24"/>
      <w:szCs w:val="20"/>
    </w:rPr>
  </w:style>
  <w:style w:type="paragraph" w:customStyle="1" w:styleId="27">
    <w:name w:val="章标题"/>
    <w:basedOn w:val="3"/>
    <w:qFormat/>
    <w:uiPriority w:val="0"/>
    <w:pPr>
      <w:keepNext w:val="0"/>
      <w:keepLines w:val="0"/>
      <w:numPr>
        <w:ilvl w:val="0"/>
        <w:numId w:val="1"/>
      </w:numPr>
      <w:adjustRightInd w:val="0"/>
      <w:snapToGrid w:val="0"/>
      <w:spacing w:before="120" w:after="120" w:line="360" w:lineRule="auto"/>
      <w:jc w:val="center"/>
    </w:pPr>
    <w:rPr>
      <w:rFonts w:ascii="宋体"/>
      <w:bCs/>
      <w:sz w:val="32"/>
      <w:szCs w:val="32"/>
    </w:rPr>
  </w:style>
  <w:style w:type="paragraph" w:customStyle="1" w:styleId="28">
    <w:name w:val="一级标题"/>
    <w:basedOn w:val="4"/>
    <w:qFormat/>
    <w:uiPriority w:val="0"/>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29">
    <w:name w:val="List Paragraph"/>
    <w:basedOn w:val="1"/>
    <w:qFormat/>
    <w:uiPriority w:val="34"/>
    <w:pPr>
      <w:ind w:firstLine="420" w:firstLineChars="200"/>
    </w:pPr>
  </w:style>
  <w:style w:type="character" w:customStyle="1" w:styleId="30">
    <w:name w:val="hover16"/>
    <w:basedOn w:val="19"/>
    <w:qFormat/>
    <w:uiPriority w:val="0"/>
  </w:style>
  <w:style w:type="character" w:customStyle="1" w:styleId="31">
    <w:name w:val="hover15"/>
    <w:basedOn w:val="19"/>
    <w:qFormat/>
    <w:uiPriority w:val="0"/>
  </w:style>
  <w:style w:type="paragraph" w:customStyle="1" w:styleId="3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364</Words>
  <Characters>2075</Characters>
  <Lines>17</Lines>
  <Paragraphs>4</Paragraphs>
  <TotalTime>51</TotalTime>
  <ScaleCrop>false</ScaleCrop>
  <LinksUpToDate>false</LinksUpToDate>
  <CharactersWithSpaces>2435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微软用户</dc:creator>
  <cp:lastModifiedBy>Administrator</cp:lastModifiedBy>
  <cp:lastPrinted>2019-08-07T01:45:00Z</cp:lastPrinted>
  <dcterms:modified xsi:type="dcterms:W3CDTF">2020-06-21T22:32:00Z</dcterms:modified>
  <dc:title>询价邀请函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